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93387D5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Head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Header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3587AF9C" w:rsidR="002246AF" w:rsidRPr="009B4E9A" w:rsidRDefault="006B5A75" w:rsidP="004E359E">
      <w:pPr>
        <w:contextualSpacing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Monday</w:t>
      </w:r>
      <w:r w:rsidR="009616B0">
        <w:rPr>
          <w:b/>
          <w:bCs/>
          <w:sz w:val="26"/>
          <w:szCs w:val="26"/>
        </w:rPr>
        <w:t>,</w:t>
      </w:r>
      <w:r w:rsidR="00D3339A" w:rsidRPr="009A1505">
        <w:rPr>
          <w:b/>
          <w:bCs/>
          <w:sz w:val="26"/>
          <w:szCs w:val="26"/>
        </w:rPr>
        <w:t xml:space="preserve"> </w:t>
      </w:r>
      <w:r w:rsidR="007D158A">
        <w:rPr>
          <w:b/>
          <w:bCs/>
          <w:sz w:val="26"/>
          <w:szCs w:val="26"/>
          <w:lang w:eastAsia="zh-CN"/>
        </w:rPr>
        <w:t>August</w:t>
      </w:r>
      <w:r w:rsidR="001F1408">
        <w:rPr>
          <w:b/>
          <w:bCs/>
          <w:sz w:val="26"/>
          <w:szCs w:val="26"/>
        </w:rPr>
        <w:t xml:space="preserve"> </w:t>
      </w:r>
      <w:r w:rsidR="00DB1237">
        <w:rPr>
          <w:rFonts w:hint="eastAsia"/>
          <w:b/>
          <w:bCs/>
          <w:sz w:val="26"/>
          <w:szCs w:val="26"/>
          <w:lang w:eastAsia="zh-CN"/>
        </w:rPr>
        <w:t>19</w:t>
      </w:r>
      <w:r w:rsidR="00DB1237">
        <w:rPr>
          <w:rFonts w:hint="eastAsia"/>
          <w:b/>
          <w:bCs/>
          <w:sz w:val="26"/>
          <w:szCs w:val="26"/>
          <w:vertAlign w:val="superscript"/>
          <w:lang w:eastAsia="zh-CN"/>
        </w:rPr>
        <w:t>th</w:t>
      </w:r>
      <w:r w:rsidR="001F1408">
        <w:rPr>
          <w:b/>
          <w:bCs/>
          <w:sz w:val="26"/>
          <w:szCs w:val="26"/>
        </w:rPr>
        <w:t xml:space="preserve">, </w:t>
      </w:r>
      <w:proofErr w:type="gramStart"/>
      <w:r w:rsidR="009616B0">
        <w:rPr>
          <w:b/>
          <w:bCs/>
          <w:sz w:val="26"/>
          <w:szCs w:val="26"/>
        </w:rPr>
        <w:t>202</w:t>
      </w:r>
      <w:r w:rsidR="00DB1237">
        <w:rPr>
          <w:rFonts w:hint="eastAsia"/>
          <w:b/>
          <w:bCs/>
          <w:sz w:val="26"/>
          <w:szCs w:val="26"/>
          <w:lang w:eastAsia="zh-CN"/>
        </w:rPr>
        <w:t>4</w:t>
      </w:r>
      <w:proofErr w:type="gramEnd"/>
      <w:r w:rsidR="00CF173E">
        <w:rPr>
          <w:b/>
          <w:bCs/>
          <w:sz w:val="26"/>
          <w:szCs w:val="26"/>
        </w:rPr>
        <w:t xml:space="preserve"> </w:t>
      </w:r>
      <w:r w:rsidR="004C5FD4" w:rsidRPr="009A1505">
        <w:rPr>
          <w:b/>
          <w:bCs/>
          <w:sz w:val="26"/>
          <w:szCs w:val="26"/>
        </w:rPr>
        <w:t xml:space="preserve">at </w:t>
      </w:r>
      <w:r w:rsidR="0054719A">
        <w:rPr>
          <w:rFonts w:hint="cs"/>
          <w:b/>
          <w:bCs/>
          <w:sz w:val="26"/>
          <w:szCs w:val="26"/>
          <w:rtl/>
        </w:rPr>
        <w:t>14:00</w:t>
      </w:r>
      <w:r w:rsidR="009B4E9A">
        <w:rPr>
          <w:b/>
          <w:bCs/>
          <w:sz w:val="26"/>
          <w:szCs w:val="26"/>
        </w:rPr>
        <w:t xml:space="preserve"> </w:t>
      </w:r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0ED81E1D" w14:textId="77777777" w:rsidR="00C5188F" w:rsidRPr="00C5188F" w:rsidRDefault="00C5188F" w:rsidP="00C5188F">
      <w:pPr>
        <w:contextualSpacing/>
        <w:jc w:val="center"/>
        <w:rPr>
          <w:b/>
          <w:bCs/>
          <w:sz w:val="28"/>
          <w:szCs w:val="28"/>
        </w:rPr>
      </w:pPr>
      <w:r w:rsidRPr="00C5188F">
        <w:rPr>
          <w:b/>
          <w:bCs/>
          <w:sz w:val="28"/>
          <w:szCs w:val="28"/>
        </w:rPr>
        <w:t xml:space="preserve">Zoom: </w:t>
      </w:r>
      <w:r w:rsidRPr="00C5188F">
        <w:rPr>
          <w:color w:val="000000"/>
          <w:sz w:val="28"/>
          <w:szCs w:val="28"/>
        </w:rPr>
        <w:t>https://technion.zoom.us/j/96298325147</w:t>
      </w:r>
    </w:p>
    <w:p w14:paraId="455112C8" w14:textId="77777777" w:rsidR="00433DC3" w:rsidRPr="00433DC3" w:rsidRDefault="00433DC3" w:rsidP="00433DC3">
      <w:pPr>
        <w:contextualSpacing/>
        <w:jc w:val="center"/>
      </w:pPr>
    </w:p>
    <w:p w14:paraId="51DD0F31" w14:textId="75C2ED46" w:rsidR="008F7A00" w:rsidRPr="00444655" w:rsidRDefault="008F7A00" w:rsidP="00444655">
      <w:pPr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8162C70" w14:textId="49B6DB88" w:rsidR="007300B0" w:rsidRPr="006B5A75" w:rsidRDefault="00AF2F22" w:rsidP="007300B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2F22">
        <w:rPr>
          <w:rFonts w:asciiTheme="majorBidi" w:hAnsiTheme="majorBidi" w:cstheme="majorBidi"/>
          <w:b/>
          <w:bCs/>
          <w:sz w:val="32"/>
          <w:szCs w:val="32"/>
        </w:rPr>
        <w:t xml:space="preserve">Catalytic Decomposition of Plastics with Iron and </w:t>
      </w:r>
      <w:proofErr w:type="spellStart"/>
      <w:r w:rsidRPr="00AF2F22">
        <w:rPr>
          <w:rFonts w:asciiTheme="majorBidi" w:hAnsiTheme="majorBidi" w:cstheme="majorBidi"/>
          <w:b/>
          <w:bCs/>
          <w:sz w:val="32"/>
          <w:szCs w:val="32"/>
        </w:rPr>
        <w:t>Aluminium</w:t>
      </w:r>
      <w:proofErr w:type="spellEnd"/>
      <w:r w:rsidRPr="00AF2F22">
        <w:rPr>
          <w:rFonts w:asciiTheme="majorBidi" w:hAnsiTheme="majorBidi" w:cstheme="majorBidi"/>
          <w:b/>
          <w:bCs/>
          <w:sz w:val="32"/>
          <w:szCs w:val="32"/>
        </w:rPr>
        <w:t xml:space="preserve"> Oxide Catalysts for Hydrogen Production</w:t>
      </w:r>
    </w:p>
    <w:p w14:paraId="01E4FE2D" w14:textId="77777777" w:rsidR="00091CF0" w:rsidRPr="007300B0" w:rsidRDefault="00091CF0" w:rsidP="0024690A">
      <w:pPr>
        <w:spacing w:before="100" w:beforeAutospacing="1" w:after="100" w:afterAutospacing="1"/>
        <w:contextualSpacing/>
        <w:rPr>
          <w:b/>
          <w:bCs/>
          <w:sz w:val="16"/>
          <w:szCs w:val="16"/>
        </w:rPr>
      </w:pPr>
    </w:p>
    <w:p w14:paraId="48F7AAC9" w14:textId="77777777" w:rsidR="00850AE5" w:rsidRPr="009A1505" w:rsidRDefault="00850AE5" w:rsidP="0024690A">
      <w:pPr>
        <w:spacing w:before="100" w:beforeAutospacing="1" w:after="100" w:afterAutospacing="1"/>
        <w:contextualSpacing/>
        <w:rPr>
          <w:b/>
          <w:bCs/>
          <w:sz w:val="16"/>
          <w:szCs w:val="16"/>
        </w:rPr>
      </w:pPr>
    </w:p>
    <w:p w14:paraId="0B1C5ED9" w14:textId="77777777" w:rsidR="00C5188F" w:rsidRDefault="00C5188F" w:rsidP="00C5188F">
      <w:pPr>
        <w:widowControl w:val="0"/>
        <w:spacing w:line="360" w:lineRule="auto"/>
        <w:ind w:right="64"/>
        <w:jc w:val="center"/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</w:pPr>
      <w:proofErr w:type="spellStart"/>
      <w:r w:rsidRPr="00C5188F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Sijie</w:t>
      </w:r>
      <w:proofErr w:type="spellEnd"/>
      <w:r w:rsidRPr="00C5188F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 xml:space="preserve"> Li</w:t>
      </w:r>
    </w:p>
    <w:p w14:paraId="247B0719" w14:textId="7D8C516B" w:rsidR="00BB440A" w:rsidRPr="008E3DBE" w:rsidRDefault="00AF2F22" w:rsidP="00C5188F">
      <w:pPr>
        <w:widowControl w:val="0"/>
        <w:spacing w:line="360" w:lineRule="auto"/>
        <w:ind w:right="64"/>
        <w:jc w:val="center"/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</w:pPr>
      <w:r w:rsidRPr="00AF2F22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PhD mid-seminar</w:t>
      </w:r>
    </w:p>
    <w:p w14:paraId="08E03542" w14:textId="577DF397" w:rsidR="00444655" w:rsidRPr="00642FD2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  <w:lang w:eastAsia="zh-CN"/>
        </w:rPr>
      </w:pPr>
      <w:r w:rsidRPr="00642FD2">
        <w:rPr>
          <w:sz w:val="24"/>
          <w:szCs w:val="24"/>
        </w:rPr>
        <w:t>Advisor</w:t>
      </w:r>
      <w:r w:rsidR="00C5188F">
        <w:rPr>
          <w:sz w:val="24"/>
          <w:szCs w:val="24"/>
        </w:rPr>
        <w:t>s</w:t>
      </w:r>
      <w:r w:rsidRPr="00642FD2">
        <w:rPr>
          <w:sz w:val="24"/>
          <w:szCs w:val="24"/>
        </w:rPr>
        <w:t xml:space="preserve">: </w:t>
      </w:r>
      <w:r w:rsidR="009B4E9A">
        <w:rPr>
          <w:sz w:val="24"/>
          <w:szCs w:val="24"/>
        </w:rPr>
        <w:t xml:space="preserve">Prof. </w:t>
      </w:r>
      <w:r w:rsidR="00AF2F22" w:rsidRPr="00AF2F22">
        <w:rPr>
          <w:rFonts w:hint="eastAsia"/>
          <w:sz w:val="24"/>
          <w:szCs w:val="24"/>
        </w:rPr>
        <w:t xml:space="preserve">Moshe </w:t>
      </w:r>
      <w:proofErr w:type="spellStart"/>
      <w:r w:rsidR="00AF2F22" w:rsidRPr="00AF2F22">
        <w:rPr>
          <w:rFonts w:hint="eastAsia"/>
          <w:sz w:val="24"/>
          <w:szCs w:val="24"/>
        </w:rPr>
        <w:t>Sheintuch</w:t>
      </w:r>
      <w:proofErr w:type="spellEnd"/>
      <w:r w:rsidR="00AF2F22" w:rsidRPr="00AF2F22">
        <w:rPr>
          <w:rFonts w:hint="eastAsia"/>
          <w:sz w:val="24"/>
          <w:szCs w:val="24"/>
        </w:rPr>
        <w:t xml:space="preserve">, </w:t>
      </w:r>
      <w:r w:rsidR="00AF2F22">
        <w:rPr>
          <w:rFonts w:hint="eastAsia"/>
          <w:sz w:val="24"/>
          <w:szCs w:val="24"/>
          <w:lang w:eastAsia="zh-CN"/>
        </w:rPr>
        <w:t xml:space="preserve">Asst. </w:t>
      </w:r>
      <w:r w:rsidR="00AF2F22">
        <w:rPr>
          <w:sz w:val="24"/>
          <w:szCs w:val="24"/>
        </w:rPr>
        <w:t xml:space="preserve">Prof. </w:t>
      </w:r>
      <w:r w:rsidR="00AF2F22">
        <w:rPr>
          <w:rFonts w:hint="eastAsia"/>
          <w:sz w:val="24"/>
          <w:szCs w:val="24"/>
          <w:lang w:eastAsia="zh-CN"/>
        </w:rPr>
        <w:t>Xi Gao</w:t>
      </w:r>
    </w:p>
    <w:p w14:paraId="77CA9A32" w14:textId="77777777" w:rsidR="00C5188F" w:rsidRDefault="00C5188F" w:rsidP="00C5188F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7045C5">
        <w:rPr>
          <w:rFonts w:asciiTheme="majorBidi" w:hAnsiTheme="majorBidi" w:cstheme="majorBidi"/>
        </w:rPr>
        <w:t>1. Department of Chemical Engineering, Guangdong Technion-Israel Institute of Technology, China</w:t>
      </w:r>
    </w:p>
    <w:p w14:paraId="328A6EF2" w14:textId="77777777" w:rsidR="00C5188F" w:rsidRPr="00C93008" w:rsidRDefault="00C5188F" w:rsidP="00C5188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</w:rPr>
        <w:t xml:space="preserve">2. </w:t>
      </w:r>
      <w:r w:rsidRPr="004E359E">
        <w:rPr>
          <w:rFonts w:asciiTheme="majorBidi" w:hAnsiTheme="majorBidi" w:cstheme="majorBidi"/>
        </w:rPr>
        <w:t xml:space="preserve">Department of Chemical Engineering, </w:t>
      </w:r>
      <w:r>
        <w:rPr>
          <w:rFonts w:asciiTheme="majorBidi" w:hAnsiTheme="majorBidi" w:cstheme="majorBidi"/>
        </w:rPr>
        <w:t>Technion-Israel Institute for Technology, I</w:t>
      </w:r>
      <w:r>
        <w:rPr>
          <w:rFonts w:asciiTheme="majorBidi" w:hAnsiTheme="majorBidi" w:cstheme="majorBidi" w:hint="eastAsia"/>
          <w:lang w:eastAsia="zh-CN"/>
        </w:rPr>
        <w:t>s</w:t>
      </w:r>
      <w:r>
        <w:rPr>
          <w:rFonts w:asciiTheme="majorBidi" w:hAnsiTheme="majorBidi" w:cstheme="majorBidi"/>
          <w:lang w:eastAsia="zh-CN"/>
        </w:rPr>
        <w:t>rael</w:t>
      </w:r>
    </w:p>
    <w:p w14:paraId="771D9FBC" w14:textId="77777777" w:rsidR="0000793D" w:rsidRPr="004E359E" w:rsidRDefault="0000793D" w:rsidP="004813E0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</w:rPr>
      </w:pPr>
    </w:p>
    <w:p w14:paraId="4685E130" w14:textId="77777777" w:rsidR="001E051E" w:rsidRPr="004E359E" w:rsidRDefault="001E051E" w:rsidP="008702BA">
      <w:pPr>
        <w:spacing w:before="100" w:beforeAutospacing="1" w:after="100" w:afterAutospacing="1" w:line="276" w:lineRule="auto"/>
        <w:contextualSpacing/>
        <w:jc w:val="center"/>
        <w:rPr>
          <w:rFonts w:asciiTheme="majorBidi" w:hAnsiTheme="majorBidi" w:cstheme="majorBidi"/>
        </w:rPr>
      </w:pPr>
    </w:p>
    <w:p w14:paraId="5FC7D6E8" w14:textId="4C94388F" w:rsidR="00AF2F22" w:rsidRPr="00AF2F22" w:rsidRDefault="00AF2F22" w:rsidP="00AF2F2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Pr="00AF2F22">
        <w:rPr>
          <w:sz w:val="24"/>
          <w:szCs w:val="24"/>
        </w:rPr>
        <w:t xml:space="preserve"> production and consumption of plastics </w:t>
      </w:r>
      <w:proofErr w:type="gramStart"/>
      <w:r w:rsidRPr="00AF2F22">
        <w:rPr>
          <w:sz w:val="24"/>
          <w:szCs w:val="24"/>
        </w:rPr>
        <w:t>have</w:t>
      </w:r>
      <w:proofErr w:type="gramEnd"/>
      <w:r w:rsidRPr="00AF2F22">
        <w:rPr>
          <w:sz w:val="24"/>
          <w:szCs w:val="24"/>
        </w:rPr>
        <w:t xml:space="preserve"> become an indispensable aspect of modern society. </w:t>
      </w:r>
      <w:r w:rsidRPr="00AF2F22">
        <w:rPr>
          <w:rFonts w:hint="eastAsia"/>
          <w:sz w:val="24"/>
          <w:szCs w:val="24"/>
        </w:rPr>
        <w:t>H</w:t>
      </w:r>
      <w:r w:rsidRPr="00AF2F22">
        <w:rPr>
          <w:sz w:val="24"/>
          <w:szCs w:val="24"/>
        </w:rPr>
        <w:t>igh-density polyethylene (HDPE) was subjected to pyrolysis and then catalytic upgrading to produce hydrogen in the presence of a novel Fe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3</w:t>
      </w:r>
      <w:r w:rsidRPr="00AF2F22">
        <w:rPr>
          <w:sz w:val="24"/>
          <w:szCs w:val="24"/>
        </w:rPr>
        <w:t>/Al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 xml:space="preserve">3 </w:t>
      </w:r>
      <w:r w:rsidRPr="00AF2F22">
        <w:rPr>
          <w:sz w:val="24"/>
          <w:szCs w:val="24"/>
        </w:rPr>
        <w:t>catalyst with a grain boundary. The hydrogen yield with Fe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3</w:t>
      </w:r>
      <w:r w:rsidRPr="00AF2F22">
        <w:rPr>
          <w:sz w:val="24"/>
          <w:szCs w:val="24"/>
        </w:rPr>
        <w:t>/Al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3</w:t>
      </w:r>
      <w:r w:rsidRPr="00AF2F22">
        <w:rPr>
          <w:sz w:val="24"/>
          <w:szCs w:val="24"/>
        </w:rPr>
        <w:t xml:space="preserve"> was 50.53 mmol</w:t>
      </w:r>
      <w:r w:rsidRPr="00AF2F22">
        <w:rPr>
          <w:rFonts w:ascii="Cambria Math" w:hAnsi="Cambria Math" w:cs="Cambria Math"/>
          <w:sz w:val="24"/>
          <w:szCs w:val="24"/>
        </w:rPr>
        <w:t>⋅</w:t>
      </w:r>
      <w:r w:rsidRPr="00AF2F22">
        <w:rPr>
          <w:sz w:val="24"/>
          <w:szCs w:val="24"/>
        </w:rPr>
        <w:t>g</w:t>
      </w:r>
      <w:r w:rsidRPr="00AF2F22">
        <w:rPr>
          <w:sz w:val="24"/>
          <w:szCs w:val="24"/>
          <w:vertAlign w:val="superscript"/>
        </w:rPr>
        <w:t>-1</w:t>
      </w:r>
      <w:r w:rsidRPr="00AF2F22">
        <w:rPr>
          <w:sz w:val="24"/>
          <w:szCs w:val="24"/>
          <w:vertAlign w:val="subscript"/>
        </w:rPr>
        <w:t>plastic</w:t>
      </w:r>
      <w:r w:rsidR="0043766C">
        <w:rPr>
          <w:rFonts w:hint="eastAsia"/>
          <w:sz w:val="24"/>
          <w:szCs w:val="24"/>
          <w:lang w:eastAsia="zh-CN"/>
        </w:rPr>
        <w:t xml:space="preserve"> and</w:t>
      </w:r>
      <w:r w:rsidRPr="00AF2F22">
        <w:rPr>
          <w:sz w:val="24"/>
          <w:szCs w:val="24"/>
        </w:rPr>
        <w:t xml:space="preserve"> alkanes/alkenes ranging from C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 xml:space="preserve"> to C</w:t>
      </w:r>
      <w:r w:rsidRPr="00AF2F22">
        <w:rPr>
          <w:sz w:val="24"/>
          <w:szCs w:val="24"/>
          <w:vertAlign w:val="subscript"/>
        </w:rPr>
        <w:t>9</w:t>
      </w:r>
      <w:r w:rsidRPr="00AF2F22">
        <w:rPr>
          <w:sz w:val="24"/>
          <w:szCs w:val="24"/>
        </w:rPr>
        <w:t xml:space="preserve"> dominated the hydrocarbon products.</w:t>
      </w:r>
      <w:r w:rsidRPr="00AF2F22">
        <w:rPr>
          <w:rFonts w:hint="eastAsia"/>
          <w:sz w:val="24"/>
          <w:szCs w:val="24"/>
        </w:rPr>
        <w:t xml:space="preserve"> </w:t>
      </w:r>
      <w:r w:rsidRPr="00AF2F22">
        <w:rPr>
          <w:rFonts w:eastAsia="SimSun" w:cs="Times New Roman"/>
          <w:sz w:val="24"/>
          <w:szCs w:val="24"/>
          <w:lang w:eastAsia="zh-CN" w:bidi="ar-SA"/>
        </w:rPr>
        <w:t>T</w:t>
      </w:r>
      <w:bookmarkStart w:id="0" w:name="_Hlk131358420"/>
      <w:r w:rsidRPr="00AF2F22">
        <w:rPr>
          <w:rFonts w:eastAsia="SimSun" w:cs="Times New Roman"/>
          <w:sz w:val="24"/>
          <w:szCs w:val="24"/>
          <w:lang w:bidi="ar-SA"/>
        </w:rPr>
        <w:t>he grain boundary between Fe</w:t>
      </w:r>
      <w:r w:rsidRPr="00AF2F22">
        <w:rPr>
          <w:rFonts w:eastAsia="SimSun" w:cs="Times New Roman"/>
          <w:sz w:val="24"/>
          <w:szCs w:val="24"/>
          <w:vertAlign w:val="subscript"/>
          <w:lang w:bidi="ar-SA"/>
        </w:rPr>
        <w:t>2</w:t>
      </w:r>
      <w:r w:rsidRPr="00AF2F22">
        <w:rPr>
          <w:rFonts w:eastAsia="SimSun" w:cs="Times New Roman"/>
          <w:sz w:val="24"/>
          <w:szCs w:val="24"/>
          <w:lang w:bidi="ar-SA"/>
        </w:rPr>
        <w:t>O</w:t>
      </w:r>
      <w:r w:rsidRPr="00AF2F22">
        <w:rPr>
          <w:rFonts w:eastAsia="SimSun" w:cs="Times New Roman"/>
          <w:sz w:val="24"/>
          <w:szCs w:val="24"/>
          <w:vertAlign w:val="subscript"/>
          <w:lang w:bidi="ar-SA"/>
        </w:rPr>
        <w:t>3</w:t>
      </w:r>
      <w:r w:rsidRPr="00AF2F22">
        <w:rPr>
          <w:rFonts w:eastAsia="SimSun" w:cs="Times New Roman"/>
          <w:sz w:val="24"/>
          <w:szCs w:val="24"/>
          <w:lang w:bidi="ar-SA"/>
        </w:rPr>
        <w:t xml:space="preserve"> and Al</w:t>
      </w:r>
      <w:r w:rsidRPr="00AF2F22">
        <w:rPr>
          <w:rFonts w:eastAsia="SimSun" w:cs="Times New Roman"/>
          <w:sz w:val="24"/>
          <w:szCs w:val="24"/>
          <w:vertAlign w:val="subscript"/>
          <w:lang w:bidi="ar-SA"/>
        </w:rPr>
        <w:t>2</w:t>
      </w:r>
      <w:r w:rsidRPr="00AF2F22">
        <w:rPr>
          <w:rFonts w:eastAsia="SimSun" w:cs="Times New Roman"/>
          <w:sz w:val="24"/>
          <w:szCs w:val="24"/>
          <w:lang w:bidi="ar-SA"/>
        </w:rPr>
        <w:t>O</w:t>
      </w:r>
      <w:r w:rsidRPr="00AF2F22">
        <w:rPr>
          <w:rFonts w:eastAsia="SimSun" w:cs="Times New Roman"/>
          <w:sz w:val="24"/>
          <w:szCs w:val="24"/>
          <w:vertAlign w:val="subscript"/>
          <w:lang w:bidi="ar-SA"/>
        </w:rPr>
        <w:t>3</w:t>
      </w:r>
      <w:r w:rsidRPr="00AF2F22">
        <w:rPr>
          <w:rFonts w:eastAsia="SimSun" w:cs="Times New Roman"/>
          <w:sz w:val="24"/>
          <w:szCs w:val="24"/>
          <w:lang w:bidi="ar-SA"/>
        </w:rPr>
        <w:t xml:space="preserve"> enhanced the adsorption of gaseous products</w:t>
      </w:r>
      <w:bookmarkEnd w:id="0"/>
      <w:r w:rsidRPr="00AF2F22">
        <w:rPr>
          <w:rFonts w:eastAsia="SimSun" w:cs="Times New Roman"/>
          <w:sz w:val="24"/>
          <w:szCs w:val="24"/>
          <w:lang w:bidi="ar-SA"/>
        </w:rPr>
        <w:t xml:space="preserve">. </w:t>
      </w:r>
      <w:r w:rsidRPr="00AF2F22">
        <w:rPr>
          <w:rFonts w:hint="eastAsia"/>
          <w:sz w:val="24"/>
          <w:szCs w:val="24"/>
        </w:rPr>
        <w:t>C</w:t>
      </w:r>
      <w:r w:rsidRPr="00AF2F22">
        <w:rPr>
          <w:sz w:val="24"/>
          <w:szCs w:val="24"/>
        </w:rPr>
        <w:t>atalyst-support interaction to form FeAl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sz w:val="24"/>
          <w:szCs w:val="24"/>
        </w:rPr>
        <w:t xml:space="preserve"> during the pyrolysis reaction was responsible for effective proton adsorption and C</w:t>
      </w:r>
      <w:bookmarkStart w:id="1" w:name="OLE_LINK7"/>
      <w:r w:rsidRPr="00AF2F22">
        <w:rPr>
          <w:sz w:val="24"/>
          <w:szCs w:val="24"/>
        </w:rPr>
        <w:t>–</w:t>
      </w:r>
      <w:bookmarkEnd w:id="1"/>
      <w:r w:rsidRPr="00AF2F22">
        <w:rPr>
          <w:sz w:val="24"/>
          <w:szCs w:val="24"/>
        </w:rPr>
        <w:t>H bond cleavage.</w:t>
      </w:r>
      <w:r w:rsidRPr="00AF2F22">
        <w:rPr>
          <w:rFonts w:hint="eastAsia"/>
          <w:sz w:val="24"/>
          <w:szCs w:val="24"/>
        </w:rPr>
        <w:t xml:space="preserve"> T</w:t>
      </w:r>
      <w:r w:rsidRPr="00AF2F22">
        <w:rPr>
          <w:sz w:val="24"/>
          <w:szCs w:val="24"/>
        </w:rPr>
        <w:t xml:space="preserve">he intrinsic catalytic activities of tetrahedral and octahedral iron </w:t>
      </w:r>
      <w:r w:rsidRPr="00AF2F22">
        <w:rPr>
          <w:rFonts w:hint="eastAsia"/>
          <w:sz w:val="24"/>
          <w:szCs w:val="24"/>
        </w:rPr>
        <w:t xml:space="preserve">among </w:t>
      </w:r>
      <w:r w:rsidRPr="00AF2F22">
        <w:rPr>
          <w:sz w:val="24"/>
          <w:szCs w:val="24"/>
        </w:rPr>
        <w:t>Fe</w:t>
      </w:r>
      <w:r w:rsidRPr="00AF2F22">
        <w:rPr>
          <w:rFonts w:hint="eastAsia"/>
          <w:sz w:val="24"/>
          <w:szCs w:val="24"/>
          <w:vertAlign w:val="subscript"/>
        </w:rPr>
        <w:t>3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rFonts w:hint="eastAsia"/>
          <w:sz w:val="24"/>
          <w:szCs w:val="24"/>
        </w:rPr>
        <w:t xml:space="preserve">@biochar, </w:t>
      </w:r>
      <w:r w:rsidRPr="00AF2F22">
        <w:rPr>
          <w:sz w:val="24"/>
          <w:szCs w:val="24"/>
        </w:rPr>
        <w:t>Fe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AlO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rFonts w:hint="eastAsia"/>
          <w:sz w:val="24"/>
          <w:szCs w:val="24"/>
        </w:rPr>
        <w:t>@biochar and</w:t>
      </w:r>
      <w:r w:rsidRPr="00AF2F22">
        <w:rPr>
          <w:sz w:val="24"/>
          <w:szCs w:val="24"/>
        </w:rPr>
        <w:t xml:space="preserve"> FeAl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rFonts w:hint="eastAsia"/>
          <w:sz w:val="24"/>
          <w:szCs w:val="24"/>
        </w:rPr>
        <w:t>@biochar</w:t>
      </w:r>
      <w:r w:rsidRPr="00AF2F22">
        <w:rPr>
          <w:sz w:val="24"/>
          <w:szCs w:val="24"/>
        </w:rPr>
        <w:t xml:space="preserve"> </w:t>
      </w:r>
      <w:r w:rsidRPr="00AF2F22">
        <w:rPr>
          <w:rFonts w:hint="eastAsia"/>
          <w:sz w:val="24"/>
          <w:szCs w:val="24"/>
        </w:rPr>
        <w:t xml:space="preserve">were further explored, and the </w:t>
      </w:r>
      <w:r w:rsidRPr="00AF2F22">
        <w:rPr>
          <w:rFonts w:hint="eastAsia"/>
          <w:bCs/>
          <w:sz w:val="24"/>
          <w:szCs w:val="24"/>
        </w:rPr>
        <w:t>t</w:t>
      </w:r>
      <w:r w:rsidRPr="00AF2F22">
        <w:rPr>
          <w:bCs/>
          <w:sz w:val="24"/>
          <w:szCs w:val="24"/>
        </w:rPr>
        <w:t xml:space="preserve">etrahedral iron sites in </w:t>
      </w:r>
      <w:r w:rsidRPr="00AF2F22">
        <w:rPr>
          <w:sz w:val="24"/>
          <w:szCs w:val="24"/>
        </w:rPr>
        <w:t>FeAl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rFonts w:hint="eastAsia"/>
          <w:sz w:val="24"/>
          <w:szCs w:val="24"/>
        </w:rPr>
        <w:t>@biochar</w:t>
      </w:r>
      <w:r w:rsidRPr="00AF2F22">
        <w:rPr>
          <w:bCs/>
          <w:sz w:val="24"/>
          <w:szCs w:val="24"/>
        </w:rPr>
        <w:t xml:space="preserve"> more effectively converted </w:t>
      </w:r>
      <w:r w:rsidRPr="00AF2F22">
        <w:rPr>
          <w:rFonts w:hint="eastAsia"/>
          <w:bCs/>
          <w:sz w:val="24"/>
          <w:szCs w:val="24"/>
        </w:rPr>
        <w:t xml:space="preserve">PP </w:t>
      </w:r>
      <w:r w:rsidRPr="00AF2F22">
        <w:rPr>
          <w:bCs/>
          <w:sz w:val="24"/>
          <w:szCs w:val="24"/>
        </w:rPr>
        <w:t>pyrolysis vapors</w:t>
      </w:r>
      <w:r w:rsidRPr="00AF2F22">
        <w:rPr>
          <w:rFonts w:hint="eastAsia"/>
          <w:bCs/>
          <w:sz w:val="24"/>
          <w:szCs w:val="24"/>
        </w:rPr>
        <w:t xml:space="preserve"> and </w:t>
      </w:r>
      <w:r w:rsidRPr="00AF2F22">
        <w:rPr>
          <w:sz w:val="24"/>
          <w:szCs w:val="24"/>
        </w:rPr>
        <w:t>achieved</w:t>
      </w:r>
      <w:r w:rsidRPr="00AF2F22">
        <w:rPr>
          <w:rFonts w:hint="eastAsia"/>
          <w:bCs/>
          <w:sz w:val="24"/>
          <w:szCs w:val="24"/>
        </w:rPr>
        <w:t xml:space="preserve"> </w:t>
      </w:r>
      <w:r w:rsidRPr="00AF2F22">
        <w:rPr>
          <w:sz w:val="24"/>
          <w:szCs w:val="24"/>
        </w:rPr>
        <w:t>hydrogen yield</w:t>
      </w:r>
      <w:r w:rsidRPr="00AF2F22">
        <w:rPr>
          <w:rFonts w:hint="eastAsia"/>
          <w:sz w:val="24"/>
          <w:szCs w:val="24"/>
        </w:rPr>
        <w:t xml:space="preserve">s of </w:t>
      </w:r>
      <w:r w:rsidRPr="00AF2F22">
        <w:rPr>
          <w:rFonts w:hint="eastAsia"/>
          <w:bCs/>
          <w:sz w:val="24"/>
          <w:szCs w:val="24"/>
        </w:rPr>
        <w:t>61.58</w:t>
      </w:r>
      <w:r w:rsidRPr="00AF2F22">
        <w:rPr>
          <w:bCs/>
          <w:sz w:val="24"/>
          <w:szCs w:val="24"/>
        </w:rPr>
        <w:t>±</w:t>
      </w:r>
      <w:r w:rsidRPr="00AF2F22">
        <w:rPr>
          <w:rFonts w:hint="eastAsia"/>
          <w:bCs/>
          <w:sz w:val="24"/>
          <w:szCs w:val="24"/>
        </w:rPr>
        <w:t>0.29</w:t>
      </w:r>
      <w:r w:rsidRPr="00AF2F22">
        <w:rPr>
          <w:bCs/>
          <w:sz w:val="24"/>
          <w:szCs w:val="24"/>
        </w:rPr>
        <w:t xml:space="preserve"> mmol g</w:t>
      </w:r>
      <w:r w:rsidRPr="00AF2F22">
        <w:rPr>
          <w:bCs/>
          <w:sz w:val="24"/>
          <w:szCs w:val="24"/>
          <w:vertAlign w:val="superscript"/>
        </w:rPr>
        <w:t>–1</w:t>
      </w:r>
      <w:r w:rsidRPr="00AF2F22">
        <w:rPr>
          <w:bCs/>
          <w:sz w:val="24"/>
          <w:szCs w:val="24"/>
          <w:vertAlign w:val="subscript"/>
        </w:rPr>
        <w:t>plastic</w:t>
      </w:r>
      <w:r w:rsidRPr="00AF2F22">
        <w:rPr>
          <w:rFonts w:hint="eastAsia"/>
          <w:bCs/>
          <w:sz w:val="24"/>
          <w:szCs w:val="24"/>
        </w:rPr>
        <w:t xml:space="preserve">. </w:t>
      </w:r>
      <w:r w:rsidR="0043766C" w:rsidRPr="0043766C">
        <w:rPr>
          <w:bCs/>
          <w:sz w:val="24"/>
          <w:szCs w:val="24"/>
        </w:rPr>
        <w:t xml:space="preserve">Four gases, namely </w:t>
      </w:r>
      <w:r w:rsidR="0043766C" w:rsidRPr="0043766C">
        <w:rPr>
          <w:rFonts w:hint="eastAsia"/>
          <w:bCs/>
          <w:sz w:val="24"/>
          <w:szCs w:val="24"/>
        </w:rPr>
        <w:t>CH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4</w:t>
      </w:r>
      <w:r w:rsidR="0043766C" w:rsidRPr="0043766C">
        <w:rPr>
          <w:rFonts w:hint="eastAsia"/>
          <w:bCs/>
          <w:sz w:val="24"/>
          <w:szCs w:val="24"/>
        </w:rPr>
        <w:t>, C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2</w:t>
      </w:r>
      <w:r w:rsidR="0043766C" w:rsidRPr="0043766C">
        <w:rPr>
          <w:rFonts w:hint="eastAsia"/>
          <w:bCs/>
          <w:sz w:val="24"/>
          <w:szCs w:val="24"/>
        </w:rPr>
        <w:t>H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4</w:t>
      </w:r>
      <w:r w:rsidR="0043766C" w:rsidRPr="0043766C">
        <w:rPr>
          <w:rFonts w:hint="eastAsia"/>
          <w:bCs/>
          <w:sz w:val="24"/>
          <w:szCs w:val="24"/>
        </w:rPr>
        <w:t>, C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3</w:t>
      </w:r>
      <w:r w:rsidR="0043766C" w:rsidRPr="0043766C">
        <w:rPr>
          <w:rFonts w:hint="eastAsia"/>
          <w:bCs/>
          <w:sz w:val="24"/>
          <w:szCs w:val="24"/>
        </w:rPr>
        <w:t>H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6</w:t>
      </w:r>
      <w:r w:rsidR="0043766C" w:rsidRPr="0043766C">
        <w:rPr>
          <w:rFonts w:hint="eastAsia"/>
          <w:bCs/>
          <w:sz w:val="24"/>
          <w:szCs w:val="24"/>
        </w:rPr>
        <w:t xml:space="preserve"> and (E)-2-C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4</w:t>
      </w:r>
      <w:r w:rsidR="0043766C" w:rsidRPr="0043766C">
        <w:rPr>
          <w:rFonts w:hint="eastAsia"/>
          <w:bCs/>
          <w:sz w:val="24"/>
          <w:szCs w:val="24"/>
        </w:rPr>
        <w:t>H</w:t>
      </w:r>
      <w:r w:rsidR="0043766C" w:rsidRPr="0043766C">
        <w:rPr>
          <w:rFonts w:hint="eastAsia"/>
          <w:bCs/>
          <w:sz w:val="24"/>
          <w:szCs w:val="24"/>
          <w:vertAlign w:val="subscript"/>
        </w:rPr>
        <w:t>8</w:t>
      </w:r>
      <w:r w:rsidR="0043766C" w:rsidRPr="0043766C">
        <w:rPr>
          <w:rFonts w:hint="eastAsia"/>
          <w:bCs/>
          <w:sz w:val="24"/>
          <w:szCs w:val="24"/>
        </w:rPr>
        <w:t xml:space="preserve">, </w:t>
      </w:r>
      <w:r w:rsidR="0043766C" w:rsidRPr="0043766C">
        <w:rPr>
          <w:bCs/>
          <w:sz w:val="24"/>
          <w:szCs w:val="24"/>
        </w:rPr>
        <w:t>were selected as model compounds to study the mechanisms involved</w:t>
      </w:r>
      <w:r w:rsidR="0043766C">
        <w:rPr>
          <w:rFonts w:hint="eastAsia"/>
          <w:bCs/>
          <w:sz w:val="24"/>
          <w:szCs w:val="24"/>
          <w:lang w:eastAsia="zh-CN"/>
        </w:rPr>
        <w:t>.</w:t>
      </w:r>
      <w:r w:rsidR="0043766C" w:rsidRPr="0043766C">
        <w:rPr>
          <w:rFonts w:hint="eastAsia"/>
          <w:bCs/>
          <w:sz w:val="24"/>
          <w:szCs w:val="24"/>
        </w:rPr>
        <w:t xml:space="preserve"> </w:t>
      </w:r>
      <w:r w:rsidRPr="00AF2F22">
        <w:rPr>
          <w:rFonts w:hint="eastAsia"/>
          <w:sz w:val="24"/>
          <w:szCs w:val="24"/>
        </w:rPr>
        <w:t>T</w:t>
      </w:r>
      <w:r w:rsidRPr="00AF2F22">
        <w:rPr>
          <w:sz w:val="24"/>
          <w:szCs w:val="24"/>
        </w:rPr>
        <w:t xml:space="preserve">he </w:t>
      </w:r>
      <w:r w:rsidRPr="00AF2F22">
        <w:rPr>
          <w:rFonts w:hint="eastAsia"/>
          <w:sz w:val="24"/>
          <w:szCs w:val="24"/>
        </w:rPr>
        <w:t>used</w:t>
      </w:r>
      <w:r w:rsidRPr="00AF2F22">
        <w:rPr>
          <w:sz w:val="24"/>
          <w:szCs w:val="24"/>
        </w:rPr>
        <w:t xml:space="preserve"> FeAl</w:t>
      </w:r>
      <w:r w:rsidRPr="00AF2F22">
        <w:rPr>
          <w:sz w:val="24"/>
          <w:szCs w:val="24"/>
          <w:vertAlign w:val="subscript"/>
        </w:rPr>
        <w:t>2</w:t>
      </w:r>
      <w:r w:rsidRPr="00AF2F22">
        <w:rPr>
          <w:sz w:val="24"/>
          <w:szCs w:val="24"/>
        </w:rPr>
        <w:t>O</w:t>
      </w:r>
      <w:r w:rsidRPr="00AF2F22">
        <w:rPr>
          <w:sz w:val="24"/>
          <w:szCs w:val="24"/>
          <w:vertAlign w:val="subscript"/>
        </w:rPr>
        <w:t>4</w:t>
      </w:r>
      <w:r w:rsidRPr="00AF2F22">
        <w:rPr>
          <w:sz w:val="24"/>
          <w:szCs w:val="24"/>
        </w:rPr>
        <w:t>@biochar catalyst</w:t>
      </w:r>
      <w:r w:rsidRPr="00AF2F22">
        <w:rPr>
          <w:rFonts w:hint="eastAsia"/>
          <w:sz w:val="24"/>
          <w:szCs w:val="24"/>
        </w:rPr>
        <w:t xml:space="preserve"> was </w:t>
      </w:r>
      <w:r w:rsidRPr="00AF2F22">
        <w:rPr>
          <w:sz w:val="24"/>
          <w:szCs w:val="24"/>
        </w:rPr>
        <w:t xml:space="preserve">then </w:t>
      </w:r>
      <w:r w:rsidRPr="00AF2F22">
        <w:rPr>
          <w:rFonts w:hint="eastAsia"/>
          <w:sz w:val="24"/>
          <w:szCs w:val="24"/>
        </w:rPr>
        <w:t xml:space="preserve">employed in </w:t>
      </w:r>
      <w:r w:rsidRPr="00AF2F22">
        <w:rPr>
          <w:sz w:val="24"/>
          <w:szCs w:val="24"/>
        </w:rPr>
        <w:t xml:space="preserve">a </w:t>
      </w:r>
      <w:r w:rsidRPr="00AF2F22">
        <w:rPr>
          <w:rFonts w:hint="eastAsia"/>
          <w:sz w:val="24"/>
          <w:szCs w:val="24"/>
        </w:rPr>
        <w:t>zinc-air battery, attaining a</w:t>
      </w:r>
      <w:r w:rsidRPr="00AF2F22">
        <w:rPr>
          <w:sz w:val="24"/>
          <w:szCs w:val="24"/>
        </w:rPr>
        <w:t xml:space="preserve"> power densit</w:t>
      </w:r>
      <w:r w:rsidRPr="00AF2F22">
        <w:rPr>
          <w:rFonts w:hint="eastAsia"/>
          <w:sz w:val="24"/>
          <w:szCs w:val="24"/>
        </w:rPr>
        <w:t xml:space="preserve">y of </w:t>
      </w:r>
      <w:r w:rsidRPr="00AF2F22">
        <w:rPr>
          <w:sz w:val="24"/>
          <w:szCs w:val="24"/>
        </w:rPr>
        <w:t xml:space="preserve">77.4 </w:t>
      </w:r>
      <w:proofErr w:type="spellStart"/>
      <w:r w:rsidRPr="00AF2F22">
        <w:rPr>
          <w:sz w:val="24"/>
          <w:szCs w:val="24"/>
        </w:rPr>
        <w:t>mW</w:t>
      </w:r>
      <w:proofErr w:type="spellEnd"/>
      <w:r w:rsidRPr="00AF2F22">
        <w:rPr>
          <w:sz w:val="24"/>
          <w:szCs w:val="24"/>
        </w:rPr>
        <w:t xml:space="preserve"> cm</w:t>
      </w:r>
      <w:r w:rsidRPr="00AF2F22">
        <w:rPr>
          <w:sz w:val="24"/>
          <w:szCs w:val="24"/>
          <w:vertAlign w:val="superscript"/>
        </w:rPr>
        <w:t>–2</w:t>
      </w:r>
      <w:r w:rsidRPr="00AF2F22">
        <w:rPr>
          <w:rFonts w:hint="eastAsia"/>
          <w:sz w:val="24"/>
          <w:szCs w:val="24"/>
        </w:rPr>
        <w:t xml:space="preserve">, an </w:t>
      </w:r>
      <w:r w:rsidRPr="00AF2F22">
        <w:rPr>
          <w:sz w:val="24"/>
          <w:szCs w:val="24"/>
        </w:rPr>
        <w:t>energy density</w:t>
      </w:r>
      <w:r w:rsidRPr="00AF2F22">
        <w:rPr>
          <w:rFonts w:hint="eastAsia"/>
          <w:sz w:val="24"/>
          <w:szCs w:val="24"/>
        </w:rPr>
        <w:t xml:space="preserve"> </w:t>
      </w:r>
      <w:r w:rsidRPr="00AF2F22">
        <w:rPr>
          <w:sz w:val="24"/>
          <w:szCs w:val="24"/>
        </w:rPr>
        <w:t xml:space="preserve">of 714.2 </w:t>
      </w:r>
      <w:proofErr w:type="spellStart"/>
      <w:r w:rsidRPr="00AF2F22">
        <w:rPr>
          <w:rFonts w:hint="eastAsia"/>
          <w:sz w:val="24"/>
          <w:szCs w:val="24"/>
        </w:rPr>
        <w:t>mAh</w:t>
      </w:r>
      <w:proofErr w:type="spellEnd"/>
      <w:r w:rsidRPr="00AF2F22">
        <w:rPr>
          <w:rFonts w:hint="eastAsia"/>
          <w:sz w:val="24"/>
          <w:szCs w:val="24"/>
        </w:rPr>
        <w:t xml:space="preserve"> g</w:t>
      </w:r>
      <w:r w:rsidRPr="00AF2F22">
        <w:rPr>
          <w:rFonts w:hint="eastAsia"/>
          <w:sz w:val="24"/>
          <w:szCs w:val="24"/>
          <w:vertAlign w:val="subscript"/>
        </w:rPr>
        <w:t>Zn</w:t>
      </w:r>
      <w:r w:rsidRPr="00AF2F22">
        <w:rPr>
          <w:sz w:val="24"/>
          <w:szCs w:val="24"/>
          <w:vertAlign w:val="superscript"/>
        </w:rPr>
        <w:t>−1</w:t>
      </w:r>
      <w:r w:rsidRPr="00AF2F22">
        <w:rPr>
          <w:rFonts w:hint="eastAsia"/>
          <w:sz w:val="24"/>
          <w:szCs w:val="24"/>
        </w:rPr>
        <w:t xml:space="preserve"> and a durability of 300 h.</w:t>
      </w:r>
    </w:p>
    <w:p w14:paraId="7802F0F7" w14:textId="23E32DB8" w:rsidR="006B5A75" w:rsidRDefault="006B5A75" w:rsidP="005D2C0A">
      <w:pPr>
        <w:spacing w:line="276" w:lineRule="auto"/>
        <w:ind w:firstLine="720"/>
        <w:jc w:val="both"/>
        <w:rPr>
          <w:sz w:val="24"/>
          <w:szCs w:val="24"/>
        </w:rPr>
      </w:pPr>
    </w:p>
    <w:p w14:paraId="5D5DAB4E" w14:textId="6D81C9C4" w:rsidR="006B5A75" w:rsidRDefault="006B5A75" w:rsidP="005D2C0A">
      <w:pPr>
        <w:spacing w:line="276" w:lineRule="auto"/>
        <w:ind w:firstLine="720"/>
        <w:jc w:val="both"/>
        <w:rPr>
          <w:sz w:val="24"/>
          <w:szCs w:val="24"/>
        </w:rPr>
      </w:pPr>
    </w:p>
    <w:p w14:paraId="66977371" w14:textId="5B34AC23" w:rsidR="006B5A75" w:rsidRDefault="006B5A75" w:rsidP="00AF2F22">
      <w:pPr>
        <w:spacing w:line="276" w:lineRule="auto"/>
        <w:jc w:val="both"/>
        <w:rPr>
          <w:sz w:val="24"/>
          <w:szCs w:val="24"/>
          <w:lang w:eastAsia="zh-CN"/>
        </w:rPr>
      </w:pPr>
    </w:p>
    <w:p w14:paraId="0EBC9EBF" w14:textId="7522CBAB" w:rsidR="006B5A75" w:rsidRDefault="006B5A75" w:rsidP="005D2C0A">
      <w:pPr>
        <w:spacing w:line="276" w:lineRule="auto"/>
        <w:ind w:firstLine="720"/>
        <w:jc w:val="both"/>
        <w:rPr>
          <w:sz w:val="24"/>
          <w:szCs w:val="24"/>
        </w:rPr>
      </w:pPr>
    </w:p>
    <w:p w14:paraId="52EC477F" w14:textId="4D7FAE06" w:rsidR="006B5A75" w:rsidRDefault="006B5A75" w:rsidP="005D2C0A">
      <w:pPr>
        <w:spacing w:line="276" w:lineRule="auto"/>
        <w:ind w:firstLine="720"/>
        <w:jc w:val="both"/>
        <w:rPr>
          <w:sz w:val="24"/>
          <w:szCs w:val="24"/>
        </w:rPr>
      </w:pPr>
    </w:p>
    <w:p w14:paraId="11094F53" w14:textId="2AA36A67" w:rsidR="006B5A75" w:rsidRPr="003F3B09" w:rsidRDefault="006B5A75" w:rsidP="0043766C">
      <w:pPr>
        <w:spacing w:line="276" w:lineRule="auto"/>
        <w:ind w:firstLine="720"/>
        <w:rPr>
          <w:sz w:val="24"/>
          <w:szCs w:val="24"/>
        </w:rPr>
      </w:pPr>
    </w:p>
    <w:sectPr w:rsidR="006B5A75" w:rsidRPr="003F3B09" w:rsidSect="00444655"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D805" w14:textId="77777777" w:rsidR="000344CD" w:rsidRDefault="000344CD" w:rsidP="00F51FFB">
      <w:r>
        <w:separator/>
      </w:r>
    </w:p>
  </w:endnote>
  <w:endnote w:type="continuationSeparator" w:id="0">
    <w:p w14:paraId="5AA5765D" w14:textId="77777777" w:rsidR="000344CD" w:rsidRDefault="000344CD" w:rsidP="00F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7F33" w14:textId="77777777" w:rsidR="000344CD" w:rsidRDefault="000344CD" w:rsidP="00F51FFB">
      <w:r>
        <w:separator/>
      </w:r>
    </w:p>
  </w:footnote>
  <w:footnote w:type="continuationSeparator" w:id="0">
    <w:p w14:paraId="18B57449" w14:textId="77777777" w:rsidR="000344CD" w:rsidRDefault="000344CD" w:rsidP="00F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24649">
    <w:abstractNumId w:val="20"/>
  </w:num>
  <w:num w:numId="2" w16cid:durableId="565143545">
    <w:abstractNumId w:val="10"/>
  </w:num>
  <w:num w:numId="3" w16cid:durableId="147748098">
    <w:abstractNumId w:val="15"/>
  </w:num>
  <w:num w:numId="4" w16cid:durableId="2119523965">
    <w:abstractNumId w:val="13"/>
  </w:num>
  <w:num w:numId="5" w16cid:durableId="457572967">
    <w:abstractNumId w:val="9"/>
  </w:num>
  <w:num w:numId="6" w16cid:durableId="1493333434">
    <w:abstractNumId w:val="7"/>
  </w:num>
  <w:num w:numId="7" w16cid:durableId="1706054158">
    <w:abstractNumId w:val="6"/>
  </w:num>
  <w:num w:numId="8" w16cid:durableId="1834221622">
    <w:abstractNumId w:val="5"/>
  </w:num>
  <w:num w:numId="9" w16cid:durableId="2085251932">
    <w:abstractNumId w:val="4"/>
  </w:num>
  <w:num w:numId="10" w16cid:durableId="185949986">
    <w:abstractNumId w:val="8"/>
  </w:num>
  <w:num w:numId="11" w16cid:durableId="1244801201">
    <w:abstractNumId w:val="3"/>
  </w:num>
  <w:num w:numId="12" w16cid:durableId="1469854077">
    <w:abstractNumId w:val="2"/>
  </w:num>
  <w:num w:numId="13" w16cid:durableId="1441028254">
    <w:abstractNumId w:val="1"/>
  </w:num>
  <w:num w:numId="14" w16cid:durableId="1543246107">
    <w:abstractNumId w:val="0"/>
  </w:num>
  <w:num w:numId="15" w16cid:durableId="1496846264">
    <w:abstractNumId w:val="19"/>
    <w:lvlOverride w:ilvl="0">
      <w:startOverride w:val="1"/>
    </w:lvlOverride>
  </w:num>
  <w:num w:numId="16" w16cid:durableId="1477840852">
    <w:abstractNumId w:val="22"/>
  </w:num>
  <w:num w:numId="17" w16cid:durableId="180507711">
    <w:abstractNumId w:val="16"/>
  </w:num>
  <w:num w:numId="18" w16cid:durableId="993726867">
    <w:abstractNumId w:val="14"/>
  </w:num>
  <w:num w:numId="19" w16cid:durableId="1391028391">
    <w:abstractNumId w:val="14"/>
  </w:num>
  <w:num w:numId="20" w16cid:durableId="1240139294">
    <w:abstractNumId w:val="21"/>
  </w:num>
  <w:num w:numId="21" w16cid:durableId="426121432">
    <w:abstractNumId w:val="12"/>
  </w:num>
  <w:num w:numId="22" w16cid:durableId="668363795">
    <w:abstractNumId w:val="11"/>
  </w:num>
  <w:num w:numId="23" w16cid:durableId="2071532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8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otaAHvCrNwsAAAA"/>
  </w:docVars>
  <w:rsids>
    <w:rsidRoot w:val="00E634F8"/>
    <w:rsid w:val="0000134D"/>
    <w:rsid w:val="00006BEE"/>
    <w:rsid w:val="0000793D"/>
    <w:rsid w:val="00011DF6"/>
    <w:rsid w:val="00013D0A"/>
    <w:rsid w:val="00014160"/>
    <w:rsid w:val="000164CA"/>
    <w:rsid w:val="00017FCD"/>
    <w:rsid w:val="00024DDA"/>
    <w:rsid w:val="000273CD"/>
    <w:rsid w:val="00033AD0"/>
    <w:rsid w:val="000344CD"/>
    <w:rsid w:val="0005430B"/>
    <w:rsid w:val="00063B43"/>
    <w:rsid w:val="00064126"/>
    <w:rsid w:val="00065CF2"/>
    <w:rsid w:val="00070AC0"/>
    <w:rsid w:val="00091CF0"/>
    <w:rsid w:val="000921FD"/>
    <w:rsid w:val="00094322"/>
    <w:rsid w:val="000A1BB7"/>
    <w:rsid w:val="000A2C18"/>
    <w:rsid w:val="000B18EE"/>
    <w:rsid w:val="000C7E51"/>
    <w:rsid w:val="000D7E5D"/>
    <w:rsid w:val="000F0823"/>
    <w:rsid w:val="000F0B42"/>
    <w:rsid w:val="000F5D41"/>
    <w:rsid w:val="00105CDE"/>
    <w:rsid w:val="0010664D"/>
    <w:rsid w:val="00106F9A"/>
    <w:rsid w:val="001174ED"/>
    <w:rsid w:val="00143575"/>
    <w:rsid w:val="00146B37"/>
    <w:rsid w:val="001532E2"/>
    <w:rsid w:val="001566E7"/>
    <w:rsid w:val="00160D93"/>
    <w:rsid w:val="001679AB"/>
    <w:rsid w:val="00172602"/>
    <w:rsid w:val="00184941"/>
    <w:rsid w:val="001865DD"/>
    <w:rsid w:val="001875D6"/>
    <w:rsid w:val="001937F4"/>
    <w:rsid w:val="00193E2C"/>
    <w:rsid w:val="001A17D3"/>
    <w:rsid w:val="001A238C"/>
    <w:rsid w:val="001A7727"/>
    <w:rsid w:val="001B0549"/>
    <w:rsid w:val="001B1A4E"/>
    <w:rsid w:val="001B6CE0"/>
    <w:rsid w:val="001C23E5"/>
    <w:rsid w:val="001D2A90"/>
    <w:rsid w:val="001D7CB6"/>
    <w:rsid w:val="001E051E"/>
    <w:rsid w:val="001E410F"/>
    <w:rsid w:val="001F1408"/>
    <w:rsid w:val="001F1C85"/>
    <w:rsid w:val="001F423C"/>
    <w:rsid w:val="001F59E9"/>
    <w:rsid w:val="00202939"/>
    <w:rsid w:val="00202CDE"/>
    <w:rsid w:val="00205C33"/>
    <w:rsid w:val="002160A7"/>
    <w:rsid w:val="002174A4"/>
    <w:rsid w:val="00220056"/>
    <w:rsid w:val="00220E0F"/>
    <w:rsid w:val="002246AF"/>
    <w:rsid w:val="00230739"/>
    <w:rsid w:val="00236B9A"/>
    <w:rsid w:val="0024690A"/>
    <w:rsid w:val="00247B07"/>
    <w:rsid w:val="002519A4"/>
    <w:rsid w:val="00256035"/>
    <w:rsid w:val="00262345"/>
    <w:rsid w:val="00270B4A"/>
    <w:rsid w:val="002764FC"/>
    <w:rsid w:val="0028282B"/>
    <w:rsid w:val="0028413F"/>
    <w:rsid w:val="00284F35"/>
    <w:rsid w:val="002A3428"/>
    <w:rsid w:val="002B3062"/>
    <w:rsid w:val="002B6BDC"/>
    <w:rsid w:val="002C1805"/>
    <w:rsid w:val="002C24E6"/>
    <w:rsid w:val="002C361E"/>
    <w:rsid w:val="002C752B"/>
    <w:rsid w:val="002D38FD"/>
    <w:rsid w:val="002D56EA"/>
    <w:rsid w:val="002D5CF0"/>
    <w:rsid w:val="002E3ABC"/>
    <w:rsid w:val="002E4FFA"/>
    <w:rsid w:val="002E613C"/>
    <w:rsid w:val="002F03AE"/>
    <w:rsid w:val="002F7E09"/>
    <w:rsid w:val="00301399"/>
    <w:rsid w:val="00306C75"/>
    <w:rsid w:val="003076DD"/>
    <w:rsid w:val="00310E3E"/>
    <w:rsid w:val="003153D8"/>
    <w:rsid w:val="00321F5F"/>
    <w:rsid w:val="00325425"/>
    <w:rsid w:val="00331E71"/>
    <w:rsid w:val="003377AB"/>
    <w:rsid w:val="0034264D"/>
    <w:rsid w:val="003441C3"/>
    <w:rsid w:val="00353958"/>
    <w:rsid w:val="00354912"/>
    <w:rsid w:val="0036139B"/>
    <w:rsid w:val="00363815"/>
    <w:rsid w:val="00363D75"/>
    <w:rsid w:val="003702CA"/>
    <w:rsid w:val="003719C3"/>
    <w:rsid w:val="003771A7"/>
    <w:rsid w:val="003773CF"/>
    <w:rsid w:val="00396EF8"/>
    <w:rsid w:val="003A260B"/>
    <w:rsid w:val="003B7586"/>
    <w:rsid w:val="003C730E"/>
    <w:rsid w:val="003D6294"/>
    <w:rsid w:val="003D78DA"/>
    <w:rsid w:val="003E3484"/>
    <w:rsid w:val="003E37B6"/>
    <w:rsid w:val="003F3B09"/>
    <w:rsid w:val="00400678"/>
    <w:rsid w:val="0040219C"/>
    <w:rsid w:val="00413787"/>
    <w:rsid w:val="0041391C"/>
    <w:rsid w:val="004154D5"/>
    <w:rsid w:val="00423C89"/>
    <w:rsid w:val="00433DC3"/>
    <w:rsid w:val="0043766C"/>
    <w:rsid w:val="00443235"/>
    <w:rsid w:val="00443EA9"/>
    <w:rsid w:val="00444655"/>
    <w:rsid w:val="004458BD"/>
    <w:rsid w:val="004473C8"/>
    <w:rsid w:val="00453F38"/>
    <w:rsid w:val="00460098"/>
    <w:rsid w:val="004615AA"/>
    <w:rsid w:val="0046230E"/>
    <w:rsid w:val="00465B8F"/>
    <w:rsid w:val="00466012"/>
    <w:rsid w:val="0046712C"/>
    <w:rsid w:val="00467199"/>
    <w:rsid w:val="00477D01"/>
    <w:rsid w:val="004813E0"/>
    <w:rsid w:val="004861CF"/>
    <w:rsid w:val="00486AEF"/>
    <w:rsid w:val="00492FDA"/>
    <w:rsid w:val="004938F9"/>
    <w:rsid w:val="00494AD6"/>
    <w:rsid w:val="00494C80"/>
    <w:rsid w:val="0049533C"/>
    <w:rsid w:val="004B4D37"/>
    <w:rsid w:val="004B7AD0"/>
    <w:rsid w:val="004C458C"/>
    <w:rsid w:val="004C5FD4"/>
    <w:rsid w:val="004D2971"/>
    <w:rsid w:val="004E359E"/>
    <w:rsid w:val="004E3A11"/>
    <w:rsid w:val="004F01AC"/>
    <w:rsid w:val="004F0E87"/>
    <w:rsid w:val="004F1C05"/>
    <w:rsid w:val="004F2D0E"/>
    <w:rsid w:val="004F632C"/>
    <w:rsid w:val="004F74BA"/>
    <w:rsid w:val="004F7F40"/>
    <w:rsid w:val="00500C3E"/>
    <w:rsid w:val="005015FD"/>
    <w:rsid w:val="00505D8A"/>
    <w:rsid w:val="00525113"/>
    <w:rsid w:val="00526699"/>
    <w:rsid w:val="00542248"/>
    <w:rsid w:val="00547118"/>
    <w:rsid w:val="0054719A"/>
    <w:rsid w:val="00552277"/>
    <w:rsid w:val="00553C31"/>
    <w:rsid w:val="0055766D"/>
    <w:rsid w:val="0056426B"/>
    <w:rsid w:val="00571E69"/>
    <w:rsid w:val="00580DAF"/>
    <w:rsid w:val="00581FBD"/>
    <w:rsid w:val="00586169"/>
    <w:rsid w:val="00590E8E"/>
    <w:rsid w:val="00594588"/>
    <w:rsid w:val="005A23A7"/>
    <w:rsid w:val="005A371C"/>
    <w:rsid w:val="005A46B4"/>
    <w:rsid w:val="005B765B"/>
    <w:rsid w:val="005B7CC6"/>
    <w:rsid w:val="005C08D9"/>
    <w:rsid w:val="005D2C0A"/>
    <w:rsid w:val="005E1892"/>
    <w:rsid w:val="005E421A"/>
    <w:rsid w:val="005F2D38"/>
    <w:rsid w:val="005F6F7D"/>
    <w:rsid w:val="005F7BD5"/>
    <w:rsid w:val="006033CE"/>
    <w:rsid w:val="0060501D"/>
    <w:rsid w:val="00637FFD"/>
    <w:rsid w:val="00640711"/>
    <w:rsid w:val="00641A71"/>
    <w:rsid w:val="00645E1D"/>
    <w:rsid w:val="00652E2F"/>
    <w:rsid w:val="00660F53"/>
    <w:rsid w:val="006677FD"/>
    <w:rsid w:val="00676131"/>
    <w:rsid w:val="00680DBE"/>
    <w:rsid w:val="00681944"/>
    <w:rsid w:val="00684BAD"/>
    <w:rsid w:val="00691D9A"/>
    <w:rsid w:val="006924B5"/>
    <w:rsid w:val="00693510"/>
    <w:rsid w:val="00693846"/>
    <w:rsid w:val="00694406"/>
    <w:rsid w:val="006A065B"/>
    <w:rsid w:val="006A50AE"/>
    <w:rsid w:val="006B5A75"/>
    <w:rsid w:val="006C45A0"/>
    <w:rsid w:val="006C5683"/>
    <w:rsid w:val="006D36B0"/>
    <w:rsid w:val="006D5D51"/>
    <w:rsid w:val="006E5D64"/>
    <w:rsid w:val="006F5CCB"/>
    <w:rsid w:val="00702D40"/>
    <w:rsid w:val="00702FBF"/>
    <w:rsid w:val="00705E3F"/>
    <w:rsid w:val="00706297"/>
    <w:rsid w:val="00712FFC"/>
    <w:rsid w:val="00724805"/>
    <w:rsid w:val="007300B0"/>
    <w:rsid w:val="00741B97"/>
    <w:rsid w:val="0074270F"/>
    <w:rsid w:val="00742F0C"/>
    <w:rsid w:val="00744A48"/>
    <w:rsid w:val="00746486"/>
    <w:rsid w:val="00763BFF"/>
    <w:rsid w:val="00764B0D"/>
    <w:rsid w:val="00767DBD"/>
    <w:rsid w:val="007724B6"/>
    <w:rsid w:val="00782643"/>
    <w:rsid w:val="00782AB5"/>
    <w:rsid w:val="0079042E"/>
    <w:rsid w:val="00790892"/>
    <w:rsid w:val="007936A1"/>
    <w:rsid w:val="00796095"/>
    <w:rsid w:val="00796B3E"/>
    <w:rsid w:val="007A1E0C"/>
    <w:rsid w:val="007A6F7A"/>
    <w:rsid w:val="007B36AD"/>
    <w:rsid w:val="007C3D1B"/>
    <w:rsid w:val="007D158A"/>
    <w:rsid w:val="007E1502"/>
    <w:rsid w:val="007F2F01"/>
    <w:rsid w:val="00810C28"/>
    <w:rsid w:val="00813171"/>
    <w:rsid w:val="00823880"/>
    <w:rsid w:val="00824301"/>
    <w:rsid w:val="00824823"/>
    <w:rsid w:val="00833143"/>
    <w:rsid w:val="00837162"/>
    <w:rsid w:val="00850AE5"/>
    <w:rsid w:val="00855939"/>
    <w:rsid w:val="00866EEF"/>
    <w:rsid w:val="00867667"/>
    <w:rsid w:val="00867F0B"/>
    <w:rsid w:val="008702BA"/>
    <w:rsid w:val="00880A61"/>
    <w:rsid w:val="008A3A03"/>
    <w:rsid w:val="008C137D"/>
    <w:rsid w:val="008C4E6F"/>
    <w:rsid w:val="008C5189"/>
    <w:rsid w:val="008C703F"/>
    <w:rsid w:val="008D0933"/>
    <w:rsid w:val="008D606A"/>
    <w:rsid w:val="008D6711"/>
    <w:rsid w:val="008D6824"/>
    <w:rsid w:val="008E5F59"/>
    <w:rsid w:val="008E6E9B"/>
    <w:rsid w:val="008F1B88"/>
    <w:rsid w:val="008F7A00"/>
    <w:rsid w:val="00914ACA"/>
    <w:rsid w:val="00915C4D"/>
    <w:rsid w:val="00921965"/>
    <w:rsid w:val="00926006"/>
    <w:rsid w:val="009309A0"/>
    <w:rsid w:val="009311E6"/>
    <w:rsid w:val="00943D13"/>
    <w:rsid w:val="00947CBB"/>
    <w:rsid w:val="009616B0"/>
    <w:rsid w:val="00962181"/>
    <w:rsid w:val="00967ABB"/>
    <w:rsid w:val="009717A3"/>
    <w:rsid w:val="00971FC3"/>
    <w:rsid w:val="0098023E"/>
    <w:rsid w:val="00987D29"/>
    <w:rsid w:val="00991AB7"/>
    <w:rsid w:val="00992FDF"/>
    <w:rsid w:val="009A1505"/>
    <w:rsid w:val="009A1AAC"/>
    <w:rsid w:val="009A23F2"/>
    <w:rsid w:val="009B0250"/>
    <w:rsid w:val="009B0E7A"/>
    <w:rsid w:val="009B3752"/>
    <w:rsid w:val="009B4E9A"/>
    <w:rsid w:val="009C18CF"/>
    <w:rsid w:val="009C21D7"/>
    <w:rsid w:val="009D6948"/>
    <w:rsid w:val="009F418A"/>
    <w:rsid w:val="009F6D82"/>
    <w:rsid w:val="00A03AB3"/>
    <w:rsid w:val="00A06708"/>
    <w:rsid w:val="00A1125D"/>
    <w:rsid w:val="00A11ABB"/>
    <w:rsid w:val="00A15C73"/>
    <w:rsid w:val="00A17918"/>
    <w:rsid w:val="00A225E0"/>
    <w:rsid w:val="00A2570E"/>
    <w:rsid w:val="00A33110"/>
    <w:rsid w:val="00A36BD7"/>
    <w:rsid w:val="00A46840"/>
    <w:rsid w:val="00A500B4"/>
    <w:rsid w:val="00A555FF"/>
    <w:rsid w:val="00A5593C"/>
    <w:rsid w:val="00A62B21"/>
    <w:rsid w:val="00A63127"/>
    <w:rsid w:val="00A70FE6"/>
    <w:rsid w:val="00A74776"/>
    <w:rsid w:val="00A83B58"/>
    <w:rsid w:val="00A912B5"/>
    <w:rsid w:val="00A93EF6"/>
    <w:rsid w:val="00A95FFD"/>
    <w:rsid w:val="00AA1D13"/>
    <w:rsid w:val="00AA3292"/>
    <w:rsid w:val="00AA77AD"/>
    <w:rsid w:val="00AB3970"/>
    <w:rsid w:val="00AB53F6"/>
    <w:rsid w:val="00AC5620"/>
    <w:rsid w:val="00AC5E74"/>
    <w:rsid w:val="00AC7156"/>
    <w:rsid w:val="00AD04EF"/>
    <w:rsid w:val="00AE1B07"/>
    <w:rsid w:val="00AF2F22"/>
    <w:rsid w:val="00AF38BB"/>
    <w:rsid w:val="00AF6A05"/>
    <w:rsid w:val="00B112A0"/>
    <w:rsid w:val="00B231EF"/>
    <w:rsid w:val="00B23644"/>
    <w:rsid w:val="00B2396E"/>
    <w:rsid w:val="00B24A83"/>
    <w:rsid w:val="00B27342"/>
    <w:rsid w:val="00B27CF7"/>
    <w:rsid w:val="00B368E5"/>
    <w:rsid w:val="00B404F2"/>
    <w:rsid w:val="00B4684A"/>
    <w:rsid w:val="00B478FB"/>
    <w:rsid w:val="00B52745"/>
    <w:rsid w:val="00B5430A"/>
    <w:rsid w:val="00B73066"/>
    <w:rsid w:val="00B768C1"/>
    <w:rsid w:val="00BB440A"/>
    <w:rsid w:val="00BB5578"/>
    <w:rsid w:val="00BB640C"/>
    <w:rsid w:val="00BB7FD3"/>
    <w:rsid w:val="00BC02C0"/>
    <w:rsid w:val="00BC1711"/>
    <w:rsid w:val="00BC6B9E"/>
    <w:rsid w:val="00BD68BE"/>
    <w:rsid w:val="00BE6109"/>
    <w:rsid w:val="00C00705"/>
    <w:rsid w:val="00C02377"/>
    <w:rsid w:val="00C034E5"/>
    <w:rsid w:val="00C046DB"/>
    <w:rsid w:val="00C1769B"/>
    <w:rsid w:val="00C20E82"/>
    <w:rsid w:val="00C31555"/>
    <w:rsid w:val="00C36BE2"/>
    <w:rsid w:val="00C37DC4"/>
    <w:rsid w:val="00C417BC"/>
    <w:rsid w:val="00C41F0C"/>
    <w:rsid w:val="00C45A57"/>
    <w:rsid w:val="00C5188F"/>
    <w:rsid w:val="00C60369"/>
    <w:rsid w:val="00C663D6"/>
    <w:rsid w:val="00C67C2F"/>
    <w:rsid w:val="00C74227"/>
    <w:rsid w:val="00C76A0B"/>
    <w:rsid w:val="00C846DB"/>
    <w:rsid w:val="00C94803"/>
    <w:rsid w:val="00C967AA"/>
    <w:rsid w:val="00C96E66"/>
    <w:rsid w:val="00CB4180"/>
    <w:rsid w:val="00CC0256"/>
    <w:rsid w:val="00CC032E"/>
    <w:rsid w:val="00CC1F6F"/>
    <w:rsid w:val="00CD4A55"/>
    <w:rsid w:val="00CD6B5C"/>
    <w:rsid w:val="00CE1050"/>
    <w:rsid w:val="00CF173E"/>
    <w:rsid w:val="00CF56F3"/>
    <w:rsid w:val="00D1026D"/>
    <w:rsid w:val="00D2243D"/>
    <w:rsid w:val="00D3339A"/>
    <w:rsid w:val="00D56F16"/>
    <w:rsid w:val="00D601BE"/>
    <w:rsid w:val="00D64F8F"/>
    <w:rsid w:val="00D70FB5"/>
    <w:rsid w:val="00D77050"/>
    <w:rsid w:val="00D83B9A"/>
    <w:rsid w:val="00D950D3"/>
    <w:rsid w:val="00D95137"/>
    <w:rsid w:val="00D95EEE"/>
    <w:rsid w:val="00DA0133"/>
    <w:rsid w:val="00DA74AE"/>
    <w:rsid w:val="00DB1237"/>
    <w:rsid w:val="00DB6A13"/>
    <w:rsid w:val="00DC3994"/>
    <w:rsid w:val="00DC3B1C"/>
    <w:rsid w:val="00DC7AC5"/>
    <w:rsid w:val="00DD275C"/>
    <w:rsid w:val="00DD499C"/>
    <w:rsid w:val="00DE1DE7"/>
    <w:rsid w:val="00DE5A0A"/>
    <w:rsid w:val="00DF0036"/>
    <w:rsid w:val="00DF6151"/>
    <w:rsid w:val="00E0123F"/>
    <w:rsid w:val="00E0708A"/>
    <w:rsid w:val="00E13C6E"/>
    <w:rsid w:val="00E1497A"/>
    <w:rsid w:val="00E165AF"/>
    <w:rsid w:val="00E2369C"/>
    <w:rsid w:val="00E31DCA"/>
    <w:rsid w:val="00E32B43"/>
    <w:rsid w:val="00E408B6"/>
    <w:rsid w:val="00E419F2"/>
    <w:rsid w:val="00E44107"/>
    <w:rsid w:val="00E472E5"/>
    <w:rsid w:val="00E63178"/>
    <w:rsid w:val="00E634F8"/>
    <w:rsid w:val="00E70CD0"/>
    <w:rsid w:val="00E73075"/>
    <w:rsid w:val="00E75F2A"/>
    <w:rsid w:val="00E76782"/>
    <w:rsid w:val="00E83032"/>
    <w:rsid w:val="00E84E49"/>
    <w:rsid w:val="00EA46BD"/>
    <w:rsid w:val="00EA78D1"/>
    <w:rsid w:val="00EB7F0C"/>
    <w:rsid w:val="00EC7053"/>
    <w:rsid w:val="00EC78BE"/>
    <w:rsid w:val="00ED37FD"/>
    <w:rsid w:val="00EE00C0"/>
    <w:rsid w:val="00EE640B"/>
    <w:rsid w:val="00EF23DC"/>
    <w:rsid w:val="00EF2543"/>
    <w:rsid w:val="00EF7630"/>
    <w:rsid w:val="00EF76B5"/>
    <w:rsid w:val="00F01FA6"/>
    <w:rsid w:val="00F1147A"/>
    <w:rsid w:val="00F14C26"/>
    <w:rsid w:val="00F205EA"/>
    <w:rsid w:val="00F247CA"/>
    <w:rsid w:val="00F24AB0"/>
    <w:rsid w:val="00F2644E"/>
    <w:rsid w:val="00F34A69"/>
    <w:rsid w:val="00F34DEF"/>
    <w:rsid w:val="00F35B26"/>
    <w:rsid w:val="00F41466"/>
    <w:rsid w:val="00F50D7B"/>
    <w:rsid w:val="00F51D55"/>
    <w:rsid w:val="00F51FFB"/>
    <w:rsid w:val="00F53403"/>
    <w:rsid w:val="00F54026"/>
    <w:rsid w:val="00F63964"/>
    <w:rsid w:val="00F65A8A"/>
    <w:rsid w:val="00F74E49"/>
    <w:rsid w:val="00F76AA7"/>
    <w:rsid w:val="00F869B2"/>
    <w:rsid w:val="00F95886"/>
    <w:rsid w:val="00F9716F"/>
    <w:rsid w:val="00F97D4A"/>
    <w:rsid w:val="00FA35F3"/>
    <w:rsid w:val="00FB148F"/>
    <w:rsid w:val="00FB2611"/>
    <w:rsid w:val="00FB7885"/>
    <w:rsid w:val="00FC0BBB"/>
    <w:rsid w:val="00FC10EE"/>
    <w:rsid w:val="00FE5656"/>
    <w:rsid w:val="00FE59E5"/>
    <w:rsid w:val="00FE7BB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David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pPr>
      <w:bidi/>
      <w:spacing w:line="36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pPr>
      <w:bidi/>
      <w:spacing w:line="360" w:lineRule="auto"/>
    </w:pPr>
    <w:rPr>
      <w:szCs w:val="24"/>
    </w:rPr>
  </w:style>
  <w:style w:type="paragraph" w:styleId="BodyText3">
    <w:name w:val="Body Text 3"/>
    <w:basedOn w:val="Normal"/>
    <w:pPr>
      <w:bidi/>
      <w:jc w:val="center"/>
    </w:pPr>
    <w:rPr>
      <w:rFonts w:cs="Times New Roman"/>
      <w:b/>
      <w:bCs/>
      <w:sz w:val="32"/>
      <w:szCs w:val="28"/>
    </w:rPr>
  </w:style>
  <w:style w:type="paragraph" w:styleId="BodyTextIndent">
    <w:name w:val="Body Text Indent"/>
    <w:basedOn w:val="Normal"/>
    <w:pPr>
      <w:bidi/>
      <w:ind w:firstLine="720"/>
      <w:jc w:val="both"/>
    </w:pPr>
    <w:rPr>
      <w:szCs w:val="26"/>
    </w:rPr>
  </w:style>
  <w:style w:type="paragraph" w:styleId="PlainText">
    <w:name w:val="Plain Text"/>
    <w:basedOn w:val="Normal"/>
    <w:pPr>
      <w:bidi/>
    </w:pPr>
    <w:rPr>
      <w:rFonts w:ascii="Courier New" w:hAnsi="Courier New" w:cs="Miriam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BodyTextIndent3">
    <w:name w:val="Body Text Indent 3"/>
    <w:basedOn w:val="Normal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Heading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Normal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Normal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Normal"/>
    <w:next w:val="Normal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Normal"/>
    <w:next w:val="Normal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Normal"/>
    <w:next w:val="Normal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jc w:val="center"/>
    </w:pPr>
    <w:rPr>
      <w:sz w:val="28"/>
      <w:szCs w:val="28"/>
    </w:rPr>
  </w:style>
  <w:style w:type="paragraph" w:styleId="BlockText">
    <w:name w:val="Block Text"/>
    <w:basedOn w:val="Normal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BodyTextFirstIndent2">
    <w:name w:val="Body Text First Indent 2"/>
    <w:basedOn w:val="BodyTextIndent"/>
    <w:pPr>
      <w:bidi w:val="0"/>
      <w:spacing w:after="120"/>
      <w:ind w:left="283" w:firstLine="210"/>
      <w:jc w:val="left"/>
    </w:pPr>
    <w:rPr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Normal"/>
    <w:rsid w:val="002D56EA"/>
    <w:pPr>
      <w:jc w:val="both"/>
    </w:pPr>
    <w:rPr>
      <w:rFonts w:eastAsia="SimSun" w:cs="Times New Roman"/>
      <w:sz w:val="24"/>
      <w:szCs w:val="24"/>
      <w:lang w:bidi="ar-SA"/>
    </w:rPr>
  </w:style>
  <w:style w:type="character" w:styleId="CommentReference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Normal"/>
    <w:next w:val="Normal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ListParagraph">
    <w:name w:val="List Paragraph"/>
    <w:basedOn w:val="Normal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DefaultParagraphFont"/>
    <w:rsid w:val="00702D40"/>
  </w:style>
  <w:style w:type="character" w:customStyle="1" w:styleId="fontstyle01">
    <w:name w:val="fontstyle01"/>
    <w:basedOn w:val="DefaultParagraphFont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B7CC6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C51A8-00D9-7E4D-B50F-BC0C8D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Mendels Dan</cp:lastModifiedBy>
  <cp:revision>10</cp:revision>
  <cp:lastPrinted>2017-07-09T07:37:00Z</cp:lastPrinted>
  <dcterms:created xsi:type="dcterms:W3CDTF">2023-02-08T07:35:00Z</dcterms:created>
  <dcterms:modified xsi:type="dcterms:W3CDTF">2024-08-07T12:09:00Z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75bbbf6b67c2c5fa58d6ea76307c9bd93091c4f36493d531bb32087417f9966f</vt:lpwstr>
  </property>
</Properties>
</file>