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BA3B4EB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7022D9EA" w:rsidR="002246AF" w:rsidRPr="009B4E9A" w:rsidRDefault="006B5A75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 w:rsidR="004824AC">
        <w:rPr>
          <w:b/>
          <w:bCs/>
          <w:sz w:val="26"/>
          <w:szCs w:val="26"/>
        </w:rPr>
        <w:t>March</w:t>
      </w:r>
      <w:r w:rsidR="001F1408">
        <w:rPr>
          <w:b/>
          <w:bCs/>
          <w:sz w:val="26"/>
          <w:szCs w:val="26"/>
        </w:rPr>
        <w:t xml:space="preserve"> </w:t>
      </w:r>
      <w:r w:rsidR="004824AC">
        <w:rPr>
          <w:b/>
          <w:bCs/>
          <w:sz w:val="26"/>
          <w:szCs w:val="26"/>
        </w:rPr>
        <w:t>4</w:t>
      </w:r>
      <w:r w:rsidR="004824AC"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proofErr w:type="gramStart"/>
      <w:r w:rsidR="009616B0">
        <w:rPr>
          <w:b/>
          <w:bCs/>
          <w:sz w:val="26"/>
          <w:szCs w:val="26"/>
        </w:rPr>
        <w:t>202</w:t>
      </w:r>
      <w:r w:rsidR="004824AC">
        <w:rPr>
          <w:b/>
          <w:bCs/>
          <w:sz w:val="26"/>
          <w:szCs w:val="26"/>
        </w:rPr>
        <w:t>4</w:t>
      </w:r>
      <w:proofErr w:type="gramEnd"/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753E0613" w:rsidR="00433DC3" w:rsidRDefault="00C950A0" w:rsidP="00220056">
      <w:pPr>
        <w:contextualSpacing/>
        <w:jc w:val="center"/>
      </w:pPr>
      <w:r>
        <w:rPr>
          <w:b/>
          <w:bCs/>
          <w:sz w:val="26"/>
          <w:szCs w:val="26"/>
        </w:rPr>
        <w:t xml:space="preserve">Zoom: </w:t>
      </w:r>
      <w:r w:rsidRPr="00C950A0">
        <w:rPr>
          <w:b/>
          <w:bCs/>
          <w:sz w:val="26"/>
          <w:szCs w:val="26"/>
        </w:rPr>
        <w:t>https://technion.zoom.us/j/96298325147</w:t>
      </w:r>
      <w:r w:rsidR="004E359E">
        <w:rPr>
          <w:b/>
          <w:bCs/>
          <w:sz w:val="26"/>
          <w:szCs w:val="26"/>
        </w:rPr>
        <w:t xml:space="preserve"> </w:t>
      </w:r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1E4FE2D" w14:textId="0C014C70" w:rsidR="00091CF0" w:rsidRPr="007300B0" w:rsidRDefault="00385F25" w:rsidP="00385F25">
      <w:pPr>
        <w:spacing w:before="100" w:beforeAutospacing="1" w:after="100" w:afterAutospacing="1"/>
        <w:contextualSpacing/>
        <w:jc w:val="center"/>
        <w:rPr>
          <w:b/>
          <w:bCs/>
          <w:sz w:val="16"/>
          <w:szCs w:val="16"/>
        </w:rPr>
      </w:pPr>
      <w:r w:rsidRPr="00385F25">
        <w:rPr>
          <w:rFonts w:asciiTheme="majorBidi" w:hAnsiTheme="majorBidi" w:cstheme="majorBidi"/>
          <w:b/>
          <w:bCs/>
          <w:sz w:val="32"/>
          <w:szCs w:val="32"/>
        </w:rPr>
        <w:t xml:space="preserve">Development and Application of a CFD Modelling Strategy for </w:t>
      </w:r>
      <w:r>
        <w:rPr>
          <w:rFonts w:asciiTheme="majorBidi" w:hAnsiTheme="majorBidi" w:cstheme="majorBidi"/>
          <w:b/>
          <w:bCs/>
          <w:sz w:val="32"/>
          <w:szCs w:val="32"/>
        </w:rPr>
        <w:t>Hollow Fiber</w:t>
      </w:r>
      <w:r w:rsidRPr="00385F25">
        <w:rPr>
          <w:rFonts w:asciiTheme="majorBidi" w:hAnsiTheme="majorBidi" w:cstheme="majorBidi"/>
          <w:b/>
          <w:bCs/>
          <w:sz w:val="32"/>
          <w:szCs w:val="32"/>
        </w:rPr>
        <w:t xml:space="preserve"> Membrane </w:t>
      </w:r>
      <w:r>
        <w:rPr>
          <w:rFonts w:asciiTheme="majorBidi" w:hAnsiTheme="majorBidi" w:cstheme="majorBidi"/>
          <w:b/>
          <w:bCs/>
          <w:sz w:val="32"/>
          <w:szCs w:val="32"/>
        </w:rPr>
        <w:t>Module</w:t>
      </w:r>
      <w:r w:rsidRPr="00385F25">
        <w:rPr>
          <w:rFonts w:asciiTheme="majorBidi" w:hAnsiTheme="majorBidi" w:cstheme="majorBidi"/>
          <w:b/>
          <w:bCs/>
          <w:sz w:val="32"/>
          <w:szCs w:val="32"/>
        </w:rPr>
        <w:t xml:space="preserve"> Based on a Double Porous Medium Model</w:t>
      </w: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7E720F31" w:rsidR="00444655" w:rsidRDefault="004824AC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Xiaobo Yao</w:t>
      </w:r>
    </w:p>
    <w:p w14:paraId="247B0719" w14:textId="5DCA604C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58C2F72C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 xml:space="preserve">Prof.  </w:t>
      </w:r>
      <w:r w:rsidR="004824AC">
        <w:rPr>
          <w:sz w:val="24"/>
          <w:szCs w:val="24"/>
        </w:rPr>
        <w:t>Viatcheslav Freger</w:t>
      </w:r>
      <w:r w:rsidR="00134DBE">
        <w:rPr>
          <w:sz w:val="24"/>
          <w:szCs w:val="24"/>
        </w:rPr>
        <w:t xml:space="preserve"> (Technion)</w:t>
      </w:r>
      <w:r w:rsidR="004824AC">
        <w:rPr>
          <w:sz w:val="24"/>
          <w:szCs w:val="24"/>
        </w:rPr>
        <w:t xml:space="preserve"> &amp; Prof. Bo Kong</w:t>
      </w:r>
      <w:r w:rsidR="00134DBE">
        <w:rPr>
          <w:sz w:val="24"/>
          <w:szCs w:val="24"/>
        </w:rPr>
        <w:t xml:space="preserve"> (GTIIT)</w:t>
      </w:r>
    </w:p>
    <w:p w14:paraId="549BC692" w14:textId="243FAD00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6948A03E" w14:textId="0F717B4F" w:rsidR="006B5A75" w:rsidRDefault="00832416" w:rsidP="00402C61">
      <w:pPr>
        <w:spacing w:line="276" w:lineRule="auto"/>
        <w:ind w:firstLine="720"/>
        <w:jc w:val="both"/>
        <w:rPr>
          <w:sz w:val="24"/>
          <w:szCs w:val="24"/>
        </w:rPr>
      </w:pPr>
      <w:r w:rsidRPr="00832416">
        <w:rPr>
          <w:sz w:val="24"/>
          <w:szCs w:val="24"/>
        </w:rPr>
        <w:t>The hollow fiber membrane module has attracted attention as a powerful gas separation technology, as it has the potential to overcome the downsides of conventional</w:t>
      </w:r>
      <w:r w:rsidR="00402C61">
        <w:rPr>
          <w:sz w:val="24"/>
          <w:szCs w:val="24"/>
        </w:rPr>
        <w:t xml:space="preserve"> </w:t>
      </w:r>
      <w:r w:rsidR="00402C61" w:rsidRPr="00402C61">
        <w:rPr>
          <w:sz w:val="24"/>
          <w:szCs w:val="24"/>
        </w:rPr>
        <w:t>membrane</w:t>
      </w:r>
      <w:r w:rsidRPr="00832416">
        <w:rPr>
          <w:sz w:val="24"/>
          <w:szCs w:val="24"/>
        </w:rPr>
        <w:t xml:space="preserve"> module devices</w:t>
      </w:r>
      <w:r>
        <w:rPr>
          <w:sz w:val="24"/>
          <w:szCs w:val="24"/>
        </w:rPr>
        <w:t>.</w:t>
      </w:r>
      <w:r w:rsidR="00402C61" w:rsidRPr="00402C61">
        <w:rPr>
          <w:sz w:val="24"/>
          <w:szCs w:val="24"/>
        </w:rPr>
        <w:t xml:space="preserve"> It has several advantages over other types of membranes for gas separation processes, including high permeability, high selectivity, and high stability.</w:t>
      </w:r>
      <w:r w:rsidR="00402C61">
        <w:rPr>
          <w:sz w:val="24"/>
          <w:szCs w:val="24"/>
        </w:rPr>
        <w:t xml:space="preserve"> </w:t>
      </w:r>
      <w:r w:rsidR="00402C61" w:rsidRPr="00402C61">
        <w:rPr>
          <w:sz w:val="24"/>
          <w:szCs w:val="24"/>
        </w:rPr>
        <w:t>Hollow fiber membranes can be used for a wide range of gas separation applications, including CO</w:t>
      </w:r>
      <w:r w:rsidR="00402C61" w:rsidRPr="00562E0F">
        <w:rPr>
          <w:sz w:val="24"/>
          <w:szCs w:val="24"/>
          <w:vertAlign w:val="subscript"/>
        </w:rPr>
        <w:t>2</w:t>
      </w:r>
      <w:r w:rsidR="00402C61" w:rsidRPr="00402C61">
        <w:rPr>
          <w:sz w:val="24"/>
          <w:szCs w:val="24"/>
        </w:rPr>
        <w:t xml:space="preserve"> capture, natural gas processing, and hydrogen purification.</w:t>
      </w:r>
      <w:r w:rsidR="00402C61">
        <w:rPr>
          <w:sz w:val="24"/>
          <w:szCs w:val="24"/>
        </w:rPr>
        <w:t xml:space="preserve"> </w:t>
      </w:r>
      <w:r w:rsidR="00402C61" w:rsidRPr="00402C61">
        <w:rPr>
          <w:sz w:val="24"/>
          <w:szCs w:val="24"/>
        </w:rPr>
        <w:t>Despite the benefits that membrane reactors bring, the compact design can cause trouble with the performance of the hollow fiber membrane module, making it necessary to optimize the module arrangement</w:t>
      </w:r>
      <w:r w:rsidR="00402C61">
        <w:rPr>
          <w:sz w:val="24"/>
          <w:szCs w:val="24"/>
        </w:rPr>
        <w:t>.</w:t>
      </w:r>
      <w:r w:rsidR="00402C61" w:rsidRPr="00402C61">
        <w:rPr>
          <w:sz w:val="24"/>
          <w:szCs w:val="24"/>
        </w:rPr>
        <w:t xml:space="preserve"> Mathematical modeling and simulation approach proves more convenient than conducting physical experiments, which are often time-consuming, expensive, and entail greater technical challenges.</w:t>
      </w:r>
      <w:r w:rsidR="00402C61">
        <w:rPr>
          <w:sz w:val="24"/>
          <w:szCs w:val="24"/>
        </w:rPr>
        <w:t xml:space="preserve"> </w:t>
      </w:r>
      <w:r w:rsidR="00402C61" w:rsidRPr="00402C61">
        <w:rPr>
          <w:sz w:val="24"/>
          <w:szCs w:val="24"/>
        </w:rPr>
        <w:t xml:space="preserve">A </w:t>
      </w:r>
      <w:r w:rsidR="00081A01">
        <w:rPr>
          <w:sz w:val="24"/>
          <w:szCs w:val="24"/>
        </w:rPr>
        <w:t>Computational Fluid Dynamics</w:t>
      </w:r>
      <w:r w:rsidR="00402C61" w:rsidRPr="00402C61">
        <w:rPr>
          <w:sz w:val="24"/>
          <w:szCs w:val="24"/>
        </w:rPr>
        <w:t xml:space="preserve"> solver was developed to simulate the intricate process of multi-component gas separation within a hollow fiber membrane module. The developed solver addresses the Navier-Stocks equation, incorporating source terms and leveraging the double porous media to approximate the densely packed hollow fiber module, optimizing computational efficiency. Significantly, the solver facilitates </w:t>
      </w:r>
      <w:r w:rsidR="001E1575">
        <w:rPr>
          <w:sz w:val="24"/>
          <w:szCs w:val="24"/>
        </w:rPr>
        <w:t>three-dimensional</w:t>
      </w:r>
      <w:r w:rsidR="00402C61" w:rsidRPr="00402C61">
        <w:rPr>
          <w:sz w:val="24"/>
          <w:szCs w:val="24"/>
        </w:rPr>
        <w:t xml:space="preserve"> predictions of velocity, concentration, and pressure profiles in both feed and permeate sides, providing a comprehensive understanding of how module geometry influences the hollow fiber membrane module's performance. The versatility of this solver positions it as a valuable tool for optimizing industrial-scale membrane module designs based on simulation results.</w:t>
      </w:r>
    </w:p>
    <w:p w14:paraId="364402AF" w14:textId="6A27B9A1" w:rsidR="006B5A75" w:rsidRDefault="006B5A75" w:rsidP="00815AD9">
      <w:pPr>
        <w:spacing w:line="276" w:lineRule="auto"/>
        <w:jc w:val="both"/>
        <w:rPr>
          <w:sz w:val="24"/>
          <w:szCs w:val="24"/>
        </w:rPr>
      </w:pPr>
    </w:p>
    <w:p w14:paraId="11094F53" w14:textId="677BFFE9" w:rsidR="006B5A75" w:rsidRPr="003F3B09" w:rsidRDefault="006B5A75" w:rsidP="006B5A75">
      <w:pPr>
        <w:spacing w:line="276" w:lineRule="auto"/>
        <w:ind w:firstLine="720"/>
        <w:jc w:val="center"/>
        <w:rPr>
          <w:sz w:val="24"/>
          <w:szCs w:val="24"/>
        </w:rPr>
      </w:pPr>
    </w:p>
    <w:sectPr w:rsidR="006B5A75" w:rsidRPr="003F3B09" w:rsidSect="00A02E8D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3A80" w14:textId="77777777" w:rsidR="00A02E8D" w:rsidRDefault="00A02E8D" w:rsidP="00F51FFB">
      <w:r>
        <w:separator/>
      </w:r>
    </w:p>
  </w:endnote>
  <w:endnote w:type="continuationSeparator" w:id="0">
    <w:p w14:paraId="2D551ACA" w14:textId="77777777" w:rsidR="00A02E8D" w:rsidRDefault="00A02E8D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55E9" w14:textId="77777777" w:rsidR="00A02E8D" w:rsidRDefault="00A02E8D" w:rsidP="00F51FFB">
      <w:r>
        <w:separator/>
      </w:r>
    </w:p>
  </w:footnote>
  <w:footnote w:type="continuationSeparator" w:id="0">
    <w:p w14:paraId="7F355157" w14:textId="77777777" w:rsidR="00A02E8D" w:rsidRDefault="00A02E8D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9124649">
    <w:abstractNumId w:val="20"/>
  </w:num>
  <w:num w:numId="2" w16cid:durableId="565143545">
    <w:abstractNumId w:val="10"/>
  </w:num>
  <w:num w:numId="3" w16cid:durableId="147748098">
    <w:abstractNumId w:val="15"/>
  </w:num>
  <w:num w:numId="4" w16cid:durableId="2119523965">
    <w:abstractNumId w:val="13"/>
  </w:num>
  <w:num w:numId="5" w16cid:durableId="457572967">
    <w:abstractNumId w:val="9"/>
  </w:num>
  <w:num w:numId="6" w16cid:durableId="1493333434">
    <w:abstractNumId w:val="7"/>
  </w:num>
  <w:num w:numId="7" w16cid:durableId="1706054158">
    <w:abstractNumId w:val="6"/>
  </w:num>
  <w:num w:numId="8" w16cid:durableId="1834221622">
    <w:abstractNumId w:val="5"/>
  </w:num>
  <w:num w:numId="9" w16cid:durableId="2085251932">
    <w:abstractNumId w:val="4"/>
  </w:num>
  <w:num w:numId="10" w16cid:durableId="185949986">
    <w:abstractNumId w:val="8"/>
  </w:num>
  <w:num w:numId="11" w16cid:durableId="1244801201">
    <w:abstractNumId w:val="3"/>
  </w:num>
  <w:num w:numId="12" w16cid:durableId="1469854077">
    <w:abstractNumId w:val="2"/>
  </w:num>
  <w:num w:numId="13" w16cid:durableId="1441028254">
    <w:abstractNumId w:val="1"/>
  </w:num>
  <w:num w:numId="14" w16cid:durableId="1543246107">
    <w:abstractNumId w:val="0"/>
  </w:num>
  <w:num w:numId="15" w16cid:durableId="1496846264">
    <w:abstractNumId w:val="19"/>
    <w:lvlOverride w:ilvl="0">
      <w:startOverride w:val="1"/>
    </w:lvlOverride>
  </w:num>
  <w:num w:numId="16" w16cid:durableId="1477840852">
    <w:abstractNumId w:val="22"/>
  </w:num>
  <w:num w:numId="17" w16cid:durableId="180507711">
    <w:abstractNumId w:val="16"/>
  </w:num>
  <w:num w:numId="18" w16cid:durableId="993726867">
    <w:abstractNumId w:val="14"/>
  </w:num>
  <w:num w:numId="19" w16cid:durableId="1391028391">
    <w:abstractNumId w:val="14"/>
  </w:num>
  <w:num w:numId="20" w16cid:durableId="1240139294">
    <w:abstractNumId w:val="21"/>
  </w:num>
  <w:num w:numId="21" w16cid:durableId="426121432">
    <w:abstractNumId w:val="12"/>
  </w:num>
  <w:num w:numId="22" w16cid:durableId="668363795">
    <w:abstractNumId w:val="11"/>
  </w:num>
  <w:num w:numId="23" w16cid:durableId="20715323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76338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64CA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81A01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34DBE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1575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056"/>
    <w:rsid w:val="00220E0F"/>
    <w:rsid w:val="002246AF"/>
    <w:rsid w:val="00225642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61F2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56AFF"/>
    <w:rsid w:val="0036139B"/>
    <w:rsid w:val="00363815"/>
    <w:rsid w:val="00363D75"/>
    <w:rsid w:val="003702CA"/>
    <w:rsid w:val="003771A7"/>
    <w:rsid w:val="003773CF"/>
    <w:rsid w:val="00385F25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02C61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24AC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E669D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2E0F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14EBA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5A75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15AD9"/>
    <w:rsid w:val="00823880"/>
    <w:rsid w:val="00824301"/>
    <w:rsid w:val="00824823"/>
    <w:rsid w:val="00832416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2E8D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C7EDC"/>
    <w:rsid w:val="00AD04EF"/>
    <w:rsid w:val="00AE0ED4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50A0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47C51A8-00D9-7E4D-B50F-BC0C8D87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Mendels Dan</cp:lastModifiedBy>
  <cp:revision>14</cp:revision>
  <cp:lastPrinted>2017-07-09T07:37:00Z</cp:lastPrinted>
  <dcterms:created xsi:type="dcterms:W3CDTF">2024-02-08T08:16:00Z</dcterms:created>
  <dcterms:modified xsi:type="dcterms:W3CDTF">2024-02-26T05:37:00Z</dcterms:modified>
</cp:coreProperties>
</file>