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040C6462" w:rsidR="002246AF" w:rsidRPr="009B4E9A" w:rsidRDefault="00354548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Thursday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November</w:t>
      </w:r>
      <w:r w:rsidR="001F140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</w:t>
      </w:r>
      <w:r w:rsidR="007300B0">
        <w:rPr>
          <w:b/>
          <w:bCs/>
          <w:sz w:val="26"/>
          <w:szCs w:val="26"/>
          <w:vertAlign w:val="superscript"/>
        </w:rPr>
        <w:t>r</w:t>
      </w:r>
      <w:r w:rsidR="00DB6A13">
        <w:rPr>
          <w:b/>
          <w:bCs/>
          <w:sz w:val="26"/>
          <w:szCs w:val="26"/>
          <w:vertAlign w:val="superscript"/>
        </w:rPr>
        <w:t>d</w:t>
      </w:r>
      <w:r w:rsidR="001F1408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2021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92632DA" w14:textId="343CA14D" w:rsidR="001A238C" w:rsidRPr="001A238C" w:rsidRDefault="004E359E" w:rsidP="00354548">
      <w:pPr>
        <w:contextualSpacing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Online seminar via Zoom</w:t>
      </w:r>
      <w:r w:rsidR="001A238C" w:rsidRPr="001A238C">
        <w:rPr>
          <w:rFonts w:asciiTheme="majorBidi" w:hAnsiTheme="majorBidi" w:cstheme="majorBidi"/>
          <w:sz w:val="21"/>
          <w:szCs w:val="21"/>
        </w:rPr>
        <w:br/>
      </w:r>
      <w:r w:rsidR="001A238C" w:rsidRPr="001A238C">
        <w:rPr>
          <w:rFonts w:asciiTheme="majorBidi" w:hAnsiTheme="majorBidi" w:cstheme="majorBidi"/>
          <w:color w:val="232333"/>
          <w:sz w:val="22"/>
          <w:szCs w:val="22"/>
          <w:shd w:val="clear" w:color="auto" w:fill="FFFFFF"/>
        </w:rPr>
        <w:t> </w:t>
      </w:r>
      <w:r w:rsidR="00354548">
        <w:rPr>
          <w:rFonts w:ascii="Calibri" w:hAnsi="Calibri" w:cs="Calibri"/>
          <w:color w:val="000000"/>
          <w:shd w:val="clear" w:color="auto" w:fill="FFFFFF"/>
        </w:rPr>
        <w:t>https://technion.zoom.us/j/96691523373</w:t>
      </w:r>
    </w:p>
    <w:bookmarkEnd w:id="0"/>
    <w:p w14:paraId="692ECF2B" w14:textId="77777777" w:rsidR="00B478FB" w:rsidRDefault="00B478FB" w:rsidP="00B478FB">
      <w:pPr>
        <w:rPr>
          <w:rFonts w:ascii="TimesNewRomanPS-BoldMT" w:hAnsi="TimesNewRomanPS-BoldMT" w:cs="TimesNewRomanPS-BoldMT"/>
          <w:sz w:val="28"/>
          <w:szCs w:val="28"/>
        </w:rPr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1E4FE2D" w14:textId="5E7C4794" w:rsidR="00091CF0" w:rsidRPr="00354548" w:rsidRDefault="00354548" w:rsidP="00354548">
      <w:pPr>
        <w:pStyle w:val="Abstract"/>
      </w:pPr>
      <w:r w:rsidRPr="00354548">
        <w:t>Local delivery of liposomal formulations for the treatment of cancer and inflammatory disorders</w:t>
      </w: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5FA71965" w:rsidR="00444655" w:rsidRDefault="00354548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Mohammed </w:t>
      </w:r>
      <w:proofErr w:type="spellStart"/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Alyan</w:t>
      </w:r>
      <w:proofErr w:type="spellEnd"/>
    </w:p>
    <w:p w14:paraId="247B0719" w14:textId="5D5B2424" w:rsidR="00BB440A" w:rsidRPr="008E3DBE" w:rsidRDefault="00354548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PhD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7735BA26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</w:t>
      </w:r>
      <w:r w:rsidR="00354548">
        <w:rPr>
          <w:sz w:val="24"/>
          <w:szCs w:val="24"/>
        </w:rPr>
        <w:t>Avi S</w:t>
      </w:r>
      <w:r w:rsidR="00354548" w:rsidRPr="00354548">
        <w:rPr>
          <w:sz w:val="24"/>
          <w:szCs w:val="24"/>
        </w:rPr>
        <w:t>chroeder</w:t>
      </w:r>
      <w:r w:rsidR="009B4E9A">
        <w:rPr>
          <w:sz w:val="24"/>
          <w:szCs w:val="24"/>
        </w:rPr>
        <w:t xml:space="preserve"> 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003BE000" w14:textId="60D2DB85" w:rsidR="00354548" w:rsidRPr="00354548" w:rsidRDefault="00354548" w:rsidP="00354548">
      <w:pPr>
        <w:pStyle w:val="Abstract"/>
        <w:rPr>
          <w:b w:val="0"/>
          <w:bCs w:val="0"/>
          <w:sz w:val="24"/>
          <w:szCs w:val="24"/>
        </w:rPr>
      </w:pPr>
      <w:r w:rsidRPr="00354548">
        <w:rPr>
          <w:b w:val="0"/>
          <w:bCs w:val="0"/>
          <w:sz w:val="24"/>
          <w:szCs w:val="24"/>
        </w:rPr>
        <w:t>Abstract</w:t>
      </w:r>
    </w:p>
    <w:p w14:paraId="140D0398" w14:textId="18F7CA6A" w:rsidR="00354548" w:rsidRPr="00354548" w:rsidRDefault="00354548" w:rsidP="00D76BAF">
      <w:pPr>
        <w:pStyle w:val="Abstract"/>
        <w:spacing w:line="276" w:lineRule="auto"/>
        <w:jc w:val="left"/>
        <w:rPr>
          <w:b w:val="0"/>
          <w:bCs w:val="0"/>
          <w:sz w:val="24"/>
          <w:szCs w:val="24"/>
        </w:rPr>
      </w:pPr>
      <w:r w:rsidRPr="00354548">
        <w:rPr>
          <w:b w:val="0"/>
          <w:bCs w:val="0"/>
          <w:sz w:val="24"/>
          <w:szCs w:val="24"/>
        </w:rPr>
        <w:t xml:space="preserve">Acute Respiratory Distress Syndrome (ARDS), associated with Covid-19 infections, is characterized by diffuse lung damage, inflammation and alveolar collapse that impairs gas exchange, </w:t>
      </w:r>
      <w:r w:rsidRPr="00354548">
        <w:rPr>
          <w:b w:val="0"/>
          <w:bCs w:val="0"/>
          <w:sz w:val="24"/>
          <w:szCs w:val="24"/>
          <w:lang w:bidi="he-IL"/>
        </w:rPr>
        <w:t xml:space="preserve">leading to </w:t>
      </w:r>
      <w:r w:rsidRPr="00354548">
        <w:rPr>
          <w:b w:val="0"/>
          <w:bCs w:val="0"/>
          <w:sz w:val="24"/>
          <w:szCs w:val="24"/>
        </w:rPr>
        <w:t xml:space="preserve">hypoxemia and patient’ mortality rates above 40%. </w:t>
      </w:r>
      <w:r w:rsidR="00D76BAF">
        <w:rPr>
          <w:rFonts w:hint="cs"/>
          <w:b w:val="0"/>
          <w:bCs w:val="0"/>
          <w:sz w:val="24"/>
          <w:szCs w:val="24"/>
        </w:rPr>
        <w:t>W</w:t>
      </w:r>
      <w:r w:rsidRPr="00354548">
        <w:rPr>
          <w:b w:val="0"/>
          <w:bCs w:val="0"/>
          <w:sz w:val="24"/>
          <w:szCs w:val="24"/>
        </w:rPr>
        <w:t xml:space="preserve">e </w:t>
      </w:r>
      <w:r w:rsidR="00D76BAF" w:rsidRPr="00354548">
        <w:rPr>
          <w:b w:val="0"/>
          <w:bCs w:val="0"/>
          <w:sz w:val="24"/>
          <w:szCs w:val="24"/>
        </w:rPr>
        <w:t>assess</w:t>
      </w:r>
      <w:r w:rsidR="00F63DCF">
        <w:rPr>
          <w:b w:val="0"/>
          <w:bCs w:val="0"/>
          <w:sz w:val="24"/>
          <w:szCs w:val="24"/>
        </w:rPr>
        <w:t>ed the ability</w:t>
      </w:r>
      <w:r w:rsidR="00D76BAF" w:rsidRPr="00354548">
        <w:rPr>
          <w:b w:val="0"/>
          <w:bCs w:val="0"/>
          <w:sz w:val="24"/>
          <w:szCs w:val="24"/>
        </w:rPr>
        <w:t xml:space="preserve"> </w:t>
      </w:r>
      <w:r w:rsidRPr="00354548">
        <w:rPr>
          <w:b w:val="0"/>
          <w:bCs w:val="0"/>
          <w:sz w:val="24"/>
          <w:szCs w:val="24"/>
        </w:rPr>
        <w:t>of 100-nm liposomes t</w:t>
      </w:r>
      <w:r w:rsidR="00F63DCF">
        <w:rPr>
          <w:b w:val="0"/>
          <w:bCs w:val="0"/>
          <w:sz w:val="24"/>
          <w:szCs w:val="24"/>
        </w:rPr>
        <w:t xml:space="preserve">ailored for pulmonary delivery </w:t>
      </w:r>
      <w:r w:rsidR="00D76BAF">
        <w:rPr>
          <w:b w:val="0"/>
          <w:bCs w:val="0"/>
          <w:sz w:val="24"/>
          <w:szCs w:val="24"/>
        </w:rPr>
        <w:t>to treat</w:t>
      </w:r>
      <w:r w:rsidRPr="00354548">
        <w:rPr>
          <w:b w:val="0"/>
          <w:bCs w:val="0"/>
          <w:sz w:val="24"/>
          <w:szCs w:val="24"/>
        </w:rPr>
        <w:t xml:space="preserve"> ARDS. The liposomal lipid composition was optimized to mimic the lung surfactant composition, </w:t>
      </w:r>
      <w:r w:rsidR="00D76BAF">
        <w:rPr>
          <w:b w:val="0"/>
          <w:bCs w:val="0"/>
          <w:sz w:val="24"/>
          <w:szCs w:val="24"/>
        </w:rPr>
        <w:t xml:space="preserve">into which two drugs </w:t>
      </w:r>
      <w:r w:rsidRPr="00354548">
        <w:rPr>
          <w:b w:val="0"/>
          <w:bCs w:val="0"/>
          <w:sz w:val="24"/>
          <w:szCs w:val="24"/>
        </w:rPr>
        <w:t xml:space="preserve">methylprednisolone (MPS), a steroid, and N-acetyl cysteine (NAC), a mucolytic agent, </w:t>
      </w:r>
      <w:r w:rsidR="00D76BAF">
        <w:rPr>
          <w:b w:val="0"/>
          <w:bCs w:val="0"/>
          <w:sz w:val="24"/>
          <w:szCs w:val="24"/>
        </w:rPr>
        <w:t>were loaded</w:t>
      </w:r>
      <w:r w:rsidRPr="00354548">
        <w:rPr>
          <w:b w:val="0"/>
          <w:bCs w:val="0"/>
          <w:sz w:val="24"/>
          <w:szCs w:val="24"/>
        </w:rPr>
        <w:t xml:space="preserve">. </w:t>
      </w:r>
      <w:r w:rsidRPr="00354548">
        <w:rPr>
          <w:b w:val="0"/>
          <w:bCs w:val="0"/>
          <w:i/>
          <w:iCs/>
          <w:sz w:val="24"/>
          <w:szCs w:val="24"/>
        </w:rPr>
        <w:t>In vitro</w:t>
      </w:r>
      <w:r w:rsidRPr="00354548">
        <w:rPr>
          <w:b w:val="0"/>
          <w:bCs w:val="0"/>
          <w:sz w:val="24"/>
          <w:szCs w:val="24"/>
        </w:rPr>
        <w:t xml:space="preserve">, treating lipopolysaccharide (LPS)-stimulated RAW 264.7 macrophages with the liposomes decreased TNFα and nitric oxide (NO) and secretion. </w:t>
      </w:r>
      <w:r w:rsidRPr="00354548">
        <w:rPr>
          <w:b w:val="0"/>
          <w:bCs w:val="0"/>
          <w:i/>
          <w:iCs/>
          <w:sz w:val="24"/>
          <w:szCs w:val="24"/>
        </w:rPr>
        <w:t>In vivo</w:t>
      </w:r>
      <w:r w:rsidRPr="00354548">
        <w:rPr>
          <w:b w:val="0"/>
          <w:bCs w:val="0"/>
          <w:sz w:val="24"/>
          <w:szCs w:val="24"/>
        </w:rPr>
        <w:t>, we assess</w:t>
      </w:r>
      <w:r w:rsidR="00D76BAF">
        <w:rPr>
          <w:b w:val="0"/>
          <w:bCs w:val="0"/>
          <w:sz w:val="24"/>
          <w:szCs w:val="24"/>
        </w:rPr>
        <w:t>ed</w:t>
      </w:r>
      <w:r w:rsidRPr="00354548">
        <w:rPr>
          <w:b w:val="0"/>
          <w:bCs w:val="0"/>
          <w:sz w:val="24"/>
          <w:szCs w:val="24"/>
        </w:rPr>
        <w:t xml:space="preserve"> the </w:t>
      </w:r>
      <w:r w:rsidR="00D76BAF">
        <w:rPr>
          <w:b w:val="0"/>
          <w:bCs w:val="0"/>
          <w:sz w:val="24"/>
          <w:szCs w:val="24"/>
        </w:rPr>
        <w:t xml:space="preserve">nanoparticle </w:t>
      </w:r>
      <w:r w:rsidRPr="00354548">
        <w:rPr>
          <w:b w:val="0"/>
          <w:bCs w:val="0"/>
          <w:sz w:val="24"/>
          <w:szCs w:val="24"/>
        </w:rPr>
        <w:t xml:space="preserve">accumulation and therapeutic efficacy either by intravenous (IV), endotracheal (ET) or both IV and ET administrations.  </w:t>
      </w:r>
    </w:p>
    <w:p w14:paraId="524F9C69" w14:textId="02B22769" w:rsidR="00354548" w:rsidRPr="00354548" w:rsidRDefault="00354548" w:rsidP="00D76BA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54548">
        <w:rPr>
          <w:rFonts w:asciiTheme="majorBidi" w:hAnsiTheme="majorBidi" w:cstheme="majorBidi"/>
          <w:color w:val="000000"/>
          <w:sz w:val="24"/>
          <w:szCs w:val="24"/>
        </w:rPr>
        <w:t xml:space="preserve">We </w:t>
      </w:r>
      <w:r w:rsidR="00D76BAF">
        <w:rPr>
          <w:rFonts w:asciiTheme="majorBidi" w:hAnsiTheme="majorBidi" w:cstheme="majorBidi"/>
          <w:color w:val="000000"/>
          <w:sz w:val="24"/>
          <w:szCs w:val="24"/>
        </w:rPr>
        <w:t>further</w:t>
      </w:r>
      <w:r w:rsidR="00D76BAF" w:rsidRPr="003545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54548">
        <w:rPr>
          <w:rFonts w:asciiTheme="majorBidi" w:hAnsiTheme="majorBidi" w:cstheme="majorBidi"/>
          <w:color w:val="000000"/>
          <w:sz w:val="24"/>
          <w:szCs w:val="24"/>
        </w:rPr>
        <w:t>sought to take advantage of this liposome technology to treat o</w:t>
      </w:r>
      <w:r w:rsidRPr="00354548">
        <w:rPr>
          <w:rFonts w:asciiTheme="majorBidi" w:hAnsiTheme="majorBidi" w:cstheme="majorBidi"/>
          <w:sz w:val="24"/>
          <w:szCs w:val="24"/>
        </w:rPr>
        <w:t>ral cancer</w:t>
      </w:r>
      <w:r w:rsidR="00D76BAF">
        <w:rPr>
          <w:rFonts w:asciiTheme="majorBidi" w:hAnsiTheme="majorBidi" w:cstheme="majorBidi"/>
          <w:sz w:val="24"/>
          <w:szCs w:val="24"/>
        </w:rPr>
        <w:t>s. For this, we developed</w:t>
      </w:r>
      <w:r w:rsidRPr="00354548">
        <w:rPr>
          <w:rFonts w:asciiTheme="majorBidi" w:hAnsiTheme="majorBidi" w:cstheme="majorBidi"/>
          <w:sz w:val="24"/>
          <w:szCs w:val="24"/>
        </w:rPr>
        <w:t xml:space="preserve"> a dry, dissolvable tablet based on dry </w:t>
      </w:r>
      <w:r w:rsidR="00D76BAF">
        <w:rPr>
          <w:rFonts w:asciiTheme="majorBidi" w:hAnsiTheme="majorBidi" w:cstheme="majorBidi"/>
          <w:sz w:val="24"/>
          <w:szCs w:val="24"/>
        </w:rPr>
        <w:t xml:space="preserve">doxorubicin-loaded </w:t>
      </w:r>
      <w:r w:rsidRPr="00354548">
        <w:rPr>
          <w:rFonts w:asciiTheme="majorBidi" w:hAnsiTheme="majorBidi" w:cstheme="majorBidi"/>
          <w:sz w:val="24"/>
          <w:szCs w:val="24"/>
        </w:rPr>
        <w:t>liposomes mixed with</w:t>
      </w:r>
      <w:r w:rsidR="00D76BAF">
        <w:rPr>
          <w:rFonts w:asciiTheme="majorBidi" w:hAnsiTheme="majorBidi" w:cstheme="majorBidi"/>
          <w:sz w:val="24"/>
          <w:szCs w:val="24"/>
        </w:rPr>
        <w:t>in an</w:t>
      </w:r>
      <w:r w:rsidRPr="00354548">
        <w:rPr>
          <w:rFonts w:asciiTheme="majorBidi" w:hAnsiTheme="majorBidi" w:cstheme="majorBidi"/>
          <w:sz w:val="24"/>
          <w:szCs w:val="24"/>
        </w:rPr>
        <w:t xml:space="preserve"> alginate powder. </w:t>
      </w:r>
      <w:r w:rsidR="00D76BAF">
        <w:rPr>
          <w:rFonts w:asciiTheme="majorBidi" w:hAnsiTheme="majorBidi" w:cstheme="majorBidi"/>
          <w:sz w:val="24"/>
          <w:szCs w:val="24"/>
        </w:rPr>
        <w:t>The</w:t>
      </w:r>
      <w:r w:rsidRPr="00354548">
        <w:rPr>
          <w:rFonts w:asciiTheme="majorBidi" w:hAnsiTheme="majorBidi" w:cstheme="majorBidi"/>
          <w:sz w:val="24"/>
          <w:szCs w:val="24"/>
        </w:rPr>
        <w:t xml:space="preserve"> tablets adhere</w:t>
      </w:r>
      <w:r w:rsidR="00D76BAF">
        <w:rPr>
          <w:rFonts w:asciiTheme="majorBidi" w:hAnsiTheme="majorBidi" w:cstheme="majorBidi"/>
          <w:sz w:val="24"/>
          <w:szCs w:val="24"/>
        </w:rPr>
        <w:t>d</w:t>
      </w:r>
      <w:r w:rsidRPr="00354548">
        <w:rPr>
          <w:rFonts w:asciiTheme="majorBidi" w:hAnsiTheme="majorBidi" w:cstheme="majorBidi"/>
          <w:sz w:val="24"/>
          <w:szCs w:val="24"/>
        </w:rPr>
        <w:t xml:space="preserve"> to the mucosal tissue and release</w:t>
      </w:r>
      <w:r w:rsidR="00D76BAF">
        <w:rPr>
          <w:rFonts w:asciiTheme="majorBidi" w:hAnsiTheme="majorBidi" w:cstheme="majorBidi"/>
          <w:sz w:val="24"/>
          <w:szCs w:val="24"/>
        </w:rPr>
        <w:t>d</w:t>
      </w:r>
      <w:r w:rsidRPr="00354548">
        <w:rPr>
          <w:rFonts w:asciiTheme="majorBidi" w:hAnsiTheme="majorBidi" w:cstheme="majorBidi"/>
          <w:sz w:val="24"/>
          <w:szCs w:val="24"/>
        </w:rPr>
        <w:t xml:space="preserve"> an anti-cancer drug by </w:t>
      </w:r>
      <w:r w:rsidR="00D76BAF">
        <w:rPr>
          <w:rFonts w:asciiTheme="majorBidi" w:hAnsiTheme="majorBidi" w:cstheme="majorBidi"/>
          <w:sz w:val="24"/>
          <w:szCs w:val="24"/>
        </w:rPr>
        <w:t>locally, resulting in the</w:t>
      </w:r>
      <w:r w:rsidRPr="00354548">
        <w:rPr>
          <w:rFonts w:asciiTheme="majorBidi" w:hAnsiTheme="majorBidi" w:cstheme="majorBidi"/>
          <w:sz w:val="24"/>
          <w:szCs w:val="24"/>
        </w:rPr>
        <w:t xml:space="preserve"> reduc</w:t>
      </w:r>
      <w:r w:rsidR="00D76BAF">
        <w:rPr>
          <w:rFonts w:asciiTheme="majorBidi" w:hAnsiTheme="majorBidi" w:cstheme="majorBidi"/>
          <w:sz w:val="24"/>
          <w:szCs w:val="24"/>
        </w:rPr>
        <w:t>tion of</w:t>
      </w:r>
      <w:r w:rsidRPr="00354548">
        <w:rPr>
          <w:rFonts w:asciiTheme="majorBidi" w:hAnsiTheme="majorBidi" w:cstheme="majorBidi"/>
          <w:sz w:val="24"/>
          <w:szCs w:val="24"/>
        </w:rPr>
        <w:t xml:space="preserve"> tumor size </w:t>
      </w:r>
      <w:r w:rsidRPr="00354548">
        <w:rPr>
          <w:rFonts w:asciiTheme="majorBidi" w:hAnsiTheme="majorBidi" w:cstheme="majorBidi"/>
          <w:i/>
          <w:iCs/>
          <w:sz w:val="24"/>
          <w:szCs w:val="24"/>
        </w:rPr>
        <w:t>in vivo</w:t>
      </w:r>
      <w:r w:rsidRPr="00354548">
        <w:rPr>
          <w:rFonts w:asciiTheme="majorBidi" w:hAnsiTheme="majorBidi" w:cstheme="majorBidi"/>
          <w:sz w:val="24"/>
          <w:szCs w:val="24"/>
        </w:rPr>
        <w:t xml:space="preserve"> and density decreasing dysplasia and squamous cell carcinoma together with tumor area shrinkage. </w:t>
      </w:r>
    </w:p>
    <w:p w14:paraId="53304735" w14:textId="77777777" w:rsidR="00354548" w:rsidRPr="00354548" w:rsidRDefault="00354548" w:rsidP="00354548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E28B137" w14:textId="77777777" w:rsidR="00354548" w:rsidRPr="00354548" w:rsidRDefault="00354548" w:rsidP="00354548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A237992" w14:textId="77777777" w:rsidR="00354548" w:rsidRPr="00354548" w:rsidRDefault="00354548" w:rsidP="00354548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FBDA23" w14:textId="77777777" w:rsidR="00354548" w:rsidRPr="00354548" w:rsidRDefault="00354548" w:rsidP="00354548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1EC538D" w14:textId="77777777" w:rsidR="00354548" w:rsidRPr="00354548" w:rsidRDefault="00354548" w:rsidP="00354548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624DEBBD" w14:textId="77777777" w:rsidR="00354548" w:rsidRPr="00354548" w:rsidRDefault="00354548" w:rsidP="00354548">
      <w:pPr>
        <w:rPr>
          <w:rFonts w:asciiTheme="majorBidi" w:hAnsiTheme="majorBidi" w:cstheme="majorBidi"/>
          <w:sz w:val="24"/>
          <w:szCs w:val="24"/>
          <w:rtl/>
        </w:rPr>
      </w:pPr>
    </w:p>
    <w:p w14:paraId="29997C22" w14:textId="77777777" w:rsidR="00354548" w:rsidRPr="00354548" w:rsidRDefault="00354548" w:rsidP="00354548">
      <w:pPr>
        <w:spacing w:line="276" w:lineRule="auto"/>
        <w:ind w:firstLine="720"/>
        <w:rPr>
          <w:sz w:val="24"/>
          <w:szCs w:val="24"/>
        </w:rPr>
      </w:pPr>
    </w:p>
    <w:sectPr w:rsidR="00354548" w:rsidRPr="00354548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E7E7" w14:textId="77777777" w:rsidR="0045538B" w:rsidRDefault="0045538B" w:rsidP="00F51FFB">
      <w:r>
        <w:separator/>
      </w:r>
    </w:p>
  </w:endnote>
  <w:endnote w:type="continuationSeparator" w:id="0">
    <w:p w14:paraId="5559C9D8" w14:textId="77777777" w:rsidR="0045538B" w:rsidRDefault="0045538B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806C" w14:textId="77777777" w:rsidR="0045538B" w:rsidRDefault="0045538B" w:rsidP="00F51FFB">
      <w:r>
        <w:separator/>
      </w:r>
    </w:p>
  </w:footnote>
  <w:footnote w:type="continuationSeparator" w:id="0">
    <w:p w14:paraId="017056BF" w14:textId="77777777" w:rsidR="0045538B" w:rsidRDefault="0045538B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77EF9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A7147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54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43235"/>
    <w:rsid w:val="00443EA9"/>
    <w:rsid w:val="00444655"/>
    <w:rsid w:val="004458BD"/>
    <w:rsid w:val="004473C8"/>
    <w:rsid w:val="00453F38"/>
    <w:rsid w:val="0045538B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27FD"/>
    <w:rsid w:val="00A74776"/>
    <w:rsid w:val="00A83B58"/>
    <w:rsid w:val="00A912B5"/>
    <w:rsid w:val="00A93EF6"/>
    <w:rsid w:val="00A95FFD"/>
    <w:rsid w:val="00A960E2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25ACB"/>
    <w:rsid w:val="00D3339A"/>
    <w:rsid w:val="00D56F16"/>
    <w:rsid w:val="00D601BE"/>
    <w:rsid w:val="00D64F8F"/>
    <w:rsid w:val="00D70FB5"/>
    <w:rsid w:val="00D76BAF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63DCF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paragraph" w:customStyle="1" w:styleId="Abstract">
    <w:name w:val="Abstract"/>
    <w:basedOn w:val="Normal"/>
    <w:autoRedefine/>
    <w:rsid w:val="00354548"/>
    <w:pPr>
      <w:spacing w:line="360" w:lineRule="auto"/>
      <w:jc w:val="center"/>
    </w:pPr>
    <w:rPr>
      <w:rFonts w:asciiTheme="majorBidi" w:eastAsia="MS Mincho" w:hAnsiTheme="majorBidi" w:cstheme="majorBidi"/>
      <w:b/>
      <w:bCs/>
      <w:sz w:val="28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E2A5A8-82F5-40F4-A87A-4A42B5C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Or Hayat</cp:lastModifiedBy>
  <cp:revision>2</cp:revision>
  <cp:lastPrinted>2017-07-09T07:37:00Z</cp:lastPrinted>
  <dcterms:created xsi:type="dcterms:W3CDTF">2021-10-26T11:11:00Z</dcterms:created>
  <dcterms:modified xsi:type="dcterms:W3CDTF">2021-10-26T11:11:00Z</dcterms:modified>
</cp:coreProperties>
</file>