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78114A0B" w:rsidR="002246AF" w:rsidRPr="009B4E9A" w:rsidRDefault="00D3339A" w:rsidP="004E359E">
      <w:pPr>
        <w:contextualSpacing/>
        <w:jc w:val="center"/>
        <w:rPr>
          <w:b/>
          <w:bCs/>
          <w:color w:val="FF0000"/>
          <w:sz w:val="24"/>
          <w:szCs w:val="24"/>
        </w:rPr>
      </w:pPr>
      <w:r w:rsidRPr="009A1505">
        <w:rPr>
          <w:b/>
          <w:bCs/>
          <w:sz w:val="26"/>
          <w:szCs w:val="26"/>
        </w:rPr>
        <w:t>Wednesday</w:t>
      </w:r>
      <w:r w:rsidR="009616B0">
        <w:rPr>
          <w:b/>
          <w:bCs/>
          <w:sz w:val="26"/>
          <w:szCs w:val="26"/>
        </w:rPr>
        <w:t>,</w:t>
      </w:r>
      <w:r w:rsidRPr="009A1505">
        <w:rPr>
          <w:b/>
          <w:bCs/>
          <w:sz w:val="26"/>
          <w:szCs w:val="26"/>
        </w:rPr>
        <w:t xml:space="preserve"> </w:t>
      </w:r>
      <w:r w:rsidR="006B0407">
        <w:rPr>
          <w:b/>
          <w:bCs/>
          <w:sz w:val="26"/>
          <w:szCs w:val="26"/>
        </w:rPr>
        <w:t>August</w:t>
      </w:r>
      <w:r w:rsidR="001F1408">
        <w:rPr>
          <w:b/>
          <w:bCs/>
          <w:sz w:val="26"/>
          <w:szCs w:val="26"/>
        </w:rPr>
        <w:t xml:space="preserve"> </w:t>
      </w:r>
      <w:r w:rsidR="006B0407">
        <w:rPr>
          <w:b/>
          <w:bCs/>
          <w:sz w:val="26"/>
          <w:szCs w:val="26"/>
        </w:rPr>
        <w:t>25</w:t>
      </w:r>
      <w:r w:rsidR="006B0407">
        <w:rPr>
          <w:b/>
          <w:bCs/>
          <w:sz w:val="26"/>
          <w:szCs w:val="26"/>
          <w:vertAlign w:val="superscript"/>
        </w:rPr>
        <w:t>th</w:t>
      </w:r>
      <w:r w:rsidR="001F1408">
        <w:rPr>
          <w:b/>
          <w:bCs/>
          <w:sz w:val="26"/>
          <w:szCs w:val="26"/>
        </w:rPr>
        <w:t xml:space="preserve">, </w:t>
      </w:r>
      <w:r w:rsidR="009616B0">
        <w:rPr>
          <w:b/>
          <w:bCs/>
          <w:sz w:val="26"/>
          <w:szCs w:val="26"/>
        </w:rPr>
        <w:t>202</w:t>
      </w:r>
      <w:r w:rsidR="009513E0">
        <w:rPr>
          <w:b/>
          <w:bCs/>
          <w:sz w:val="26"/>
          <w:szCs w:val="26"/>
        </w:rPr>
        <w:t>1</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592632DA" w14:textId="2BE93455" w:rsidR="001A238C" w:rsidRPr="001A238C" w:rsidRDefault="004E359E" w:rsidP="001A238C">
      <w:pPr>
        <w:contextualSpacing/>
        <w:jc w:val="center"/>
        <w:rPr>
          <w:b/>
          <w:bCs/>
          <w:sz w:val="26"/>
          <w:szCs w:val="26"/>
        </w:rPr>
      </w:pPr>
      <w:r>
        <w:rPr>
          <w:b/>
          <w:bCs/>
          <w:sz w:val="26"/>
          <w:szCs w:val="26"/>
        </w:rPr>
        <w:t>Online seminar via Zoom</w:t>
      </w:r>
    </w:p>
    <w:p w14:paraId="738094B0" w14:textId="1AB07124" w:rsidR="00E3472E" w:rsidRPr="00E3472E" w:rsidRDefault="00E3472E" w:rsidP="00E3472E">
      <w:pPr>
        <w:jc w:val="center"/>
        <w:rPr>
          <w:rFonts w:asciiTheme="majorBidi" w:hAnsiTheme="majorBidi" w:cstheme="majorBidi"/>
        </w:rPr>
      </w:pPr>
      <w:hyperlink r:id="rId9" w:tgtFrame="_blank" w:history="1">
        <w:r w:rsidRPr="00E3472E">
          <w:rPr>
            <w:rStyle w:val="Hyperlink"/>
            <w:rFonts w:asciiTheme="majorBidi" w:hAnsiTheme="majorBidi" w:cstheme="majorBidi"/>
            <w:color w:val="0E71EB"/>
            <w:sz w:val="21"/>
            <w:szCs w:val="21"/>
            <w:shd w:val="clear" w:color="auto" w:fill="FFFFFF"/>
          </w:rPr>
          <w:t>https://technion.zoom.us/j/98982676170</w:t>
        </w:r>
      </w:hyperlink>
    </w:p>
    <w:p w14:paraId="51DD0F31" w14:textId="75C2ED46" w:rsidR="008F7A00" w:rsidRPr="00444655" w:rsidRDefault="008F7A00" w:rsidP="005503DE">
      <w:pPr>
        <w:rPr>
          <w:rFonts w:ascii="TimesNewRomanPS-BoldMT" w:hAnsi="TimesNewRomanPS-BoldMT" w:cs="TimesNewRomanPS-BoldMT"/>
          <w:b/>
          <w:bCs/>
          <w:sz w:val="32"/>
          <w:szCs w:val="32"/>
        </w:rPr>
      </w:pPr>
    </w:p>
    <w:p w14:paraId="48F7AAC9" w14:textId="6F49DFF7" w:rsidR="00850AE5" w:rsidRDefault="0058735A" w:rsidP="005503DE">
      <w:pPr>
        <w:spacing w:before="100" w:beforeAutospacing="1" w:after="100" w:afterAutospacing="1"/>
        <w:contextualSpacing/>
        <w:jc w:val="center"/>
        <w:rPr>
          <w:rFonts w:ascii="TimesNewRomanPS-BoldMT" w:hAnsi="TimesNewRomanPS-BoldMT" w:cs="TimesNewRomanPS-BoldMT"/>
          <w:b/>
          <w:bCs/>
          <w:sz w:val="32"/>
          <w:szCs w:val="32"/>
          <w:rtl/>
        </w:rPr>
      </w:pPr>
      <w:r w:rsidRPr="0058735A">
        <w:rPr>
          <w:rFonts w:ascii="TimesNewRomanPS-BoldMT" w:hAnsi="TimesNewRomanPS-BoldMT" w:cs="TimesNewRomanPS-BoldMT"/>
          <w:b/>
          <w:bCs/>
          <w:sz w:val="32"/>
          <w:szCs w:val="32"/>
        </w:rPr>
        <w:t>Facile superhydrophobic modification of commercial polyvinylidene fluoride (PVDF) membrane with TiO</w:t>
      </w:r>
      <w:r w:rsidRPr="0058735A">
        <w:rPr>
          <w:rFonts w:ascii="TimesNewRomanPS-BoldMT" w:hAnsi="TimesNewRomanPS-BoldMT" w:cs="TimesNewRomanPS-BoldMT"/>
          <w:b/>
          <w:bCs/>
          <w:sz w:val="32"/>
          <w:szCs w:val="32"/>
          <w:vertAlign w:val="subscript"/>
        </w:rPr>
        <w:t>2</w:t>
      </w:r>
      <w:r w:rsidRPr="0058735A">
        <w:rPr>
          <w:rFonts w:ascii="TimesNewRomanPS-BoldMT" w:hAnsi="TimesNewRomanPS-BoldMT" w:cs="TimesNewRomanPS-BoldMT"/>
          <w:b/>
          <w:bCs/>
          <w:sz w:val="32"/>
          <w:szCs w:val="32"/>
        </w:rPr>
        <w:t xml:space="preserve"> nanoparticles for membrane distillation</w:t>
      </w:r>
    </w:p>
    <w:p w14:paraId="0021EF69" w14:textId="77777777" w:rsidR="005503DE" w:rsidRPr="009A1505" w:rsidRDefault="005503DE" w:rsidP="005503DE">
      <w:pPr>
        <w:spacing w:before="100" w:beforeAutospacing="1" w:after="100" w:afterAutospacing="1"/>
        <w:contextualSpacing/>
        <w:jc w:val="center"/>
        <w:rPr>
          <w:b/>
          <w:bCs/>
          <w:sz w:val="16"/>
          <w:szCs w:val="16"/>
        </w:rPr>
      </w:pPr>
    </w:p>
    <w:p w14:paraId="5DF486B2" w14:textId="018C2E6B" w:rsidR="00444655" w:rsidRDefault="009513E0"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Zihao Hong</w:t>
      </w:r>
    </w:p>
    <w:p w14:paraId="247B0719" w14:textId="5DCA604C" w:rsidR="00BB440A" w:rsidRPr="008E3DBE" w:rsidRDefault="00DB6A1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w:t>
      </w:r>
      <w:r w:rsidR="00BB440A">
        <w:rPr>
          <w:rFonts w:asciiTheme="majorBidi" w:eastAsia="MS Mincho" w:hAnsiTheme="majorBidi" w:cstheme="majorBidi"/>
          <w:b/>
          <w:bCs/>
          <w:kern w:val="2"/>
          <w:sz w:val="28"/>
          <w:szCs w:val="28"/>
          <w:lang w:eastAsia="ja-JP"/>
        </w:rPr>
        <w:t xml:space="preserve"> Seminar</w:t>
      </w:r>
    </w:p>
    <w:p w14:paraId="08E03542" w14:textId="6E7535B5" w:rsidR="00444655" w:rsidRDefault="00444655" w:rsidP="009B4E9A">
      <w:pPr>
        <w:widowControl w:val="0"/>
        <w:tabs>
          <w:tab w:val="right" w:pos="8666"/>
        </w:tabs>
        <w:ind w:left="-1144" w:right="-1170"/>
        <w:jc w:val="center"/>
        <w:rPr>
          <w:sz w:val="24"/>
          <w:szCs w:val="24"/>
        </w:rPr>
      </w:pPr>
      <w:r w:rsidRPr="00642FD2">
        <w:rPr>
          <w:sz w:val="24"/>
          <w:szCs w:val="24"/>
        </w:rPr>
        <w:t xml:space="preserve">Advisor: </w:t>
      </w:r>
      <w:r w:rsidR="009B4E9A">
        <w:rPr>
          <w:sz w:val="24"/>
          <w:szCs w:val="24"/>
        </w:rPr>
        <w:t xml:space="preserve">Prof.  </w:t>
      </w:r>
      <w:r w:rsidR="006B0407">
        <w:rPr>
          <w:sz w:val="24"/>
          <w:szCs w:val="24"/>
        </w:rPr>
        <w:t>Paul Chen</w:t>
      </w:r>
    </w:p>
    <w:p w14:paraId="51A71CC0" w14:textId="3DADF9BD" w:rsidR="006B0407" w:rsidRPr="00642FD2" w:rsidRDefault="006B0407" w:rsidP="009B4E9A">
      <w:pPr>
        <w:widowControl w:val="0"/>
        <w:tabs>
          <w:tab w:val="right" w:pos="8666"/>
        </w:tabs>
        <w:ind w:left="-1144" w:right="-1170"/>
        <w:jc w:val="center"/>
        <w:rPr>
          <w:sz w:val="24"/>
          <w:szCs w:val="24"/>
        </w:rPr>
      </w:pPr>
      <w:r>
        <w:rPr>
          <w:rFonts w:hint="eastAsia"/>
          <w:sz w:val="24"/>
          <w:szCs w:val="24"/>
        </w:rPr>
        <w:t>P</w:t>
      </w:r>
      <w:r>
        <w:rPr>
          <w:sz w:val="24"/>
          <w:szCs w:val="24"/>
        </w:rPr>
        <w:t xml:space="preserve">rof. </w:t>
      </w:r>
      <w:r w:rsidR="00FF075F">
        <w:rPr>
          <w:sz w:val="24"/>
          <w:szCs w:val="24"/>
        </w:rPr>
        <w:t xml:space="preserve"> Raphael Semiat </w:t>
      </w:r>
    </w:p>
    <w:p w14:paraId="549BC692" w14:textId="059FBDFD" w:rsidR="0000793D" w:rsidRPr="004E359E" w:rsidRDefault="004E359E" w:rsidP="004E359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r w:rsidR="005503DE">
        <w:rPr>
          <w:rFonts w:asciiTheme="majorBidi" w:hAnsiTheme="majorBidi" w:cstheme="majorBidi"/>
        </w:rPr>
        <w:t xml:space="preserve"> and GTIIT</w:t>
      </w: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7C2AD402" w14:textId="247F9653" w:rsidR="00670BD9" w:rsidRPr="00670BD9" w:rsidRDefault="00670BD9" w:rsidP="00670BD9">
      <w:pPr>
        <w:spacing w:line="276" w:lineRule="auto"/>
        <w:ind w:firstLine="720"/>
        <w:rPr>
          <w:sz w:val="24"/>
          <w:szCs w:val="24"/>
        </w:rPr>
      </w:pPr>
      <w:r w:rsidRPr="00670BD9">
        <w:rPr>
          <w:sz w:val="24"/>
          <w:szCs w:val="24"/>
        </w:rPr>
        <w:t xml:space="preserve">Membrane distillation (MD) is an emerging separation technology combining distillation with the membrane separation process. Different from the conventional membrane processes, the driving force of MD is the vapor pressure difference caused by the temperature gradient on the two sides of membrane. The absence of expensive components, such as high-pressure pumps and pressure exchangers, reduces the capital cost to a certain extent. Furthermore, 100% theoretical rejection of non-volatile components and the capability of utilizing low-grade heat energy render MD the potential for desalination, wastewater treatment, removal of volatile components, etc. However, during the long-term operation, the </w:t>
      </w:r>
      <w:r w:rsidR="00E0403A">
        <w:rPr>
          <w:rFonts w:hint="eastAsia"/>
          <w:sz w:val="24"/>
          <w:szCs w:val="24"/>
          <w:lang w:eastAsia="zh-CN"/>
        </w:rPr>
        <w:t>inevitable</w:t>
      </w:r>
      <w:r w:rsidR="00E0403A">
        <w:rPr>
          <w:sz w:val="24"/>
          <w:szCs w:val="24"/>
        </w:rPr>
        <w:t xml:space="preserve"> </w:t>
      </w:r>
      <w:r w:rsidRPr="00670BD9">
        <w:rPr>
          <w:sz w:val="24"/>
          <w:szCs w:val="24"/>
        </w:rPr>
        <w:t>wetting and fouling phenomenon could lead to the deteriorated permeate quality and efficiency of MD.</w:t>
      </w:r>
    </w:p>
    <w:p w14:paraId="12143F40" w14:textId="77777777" w:rsidR="00670BD9" w:rsidRPr="00670BD9" w:rsidRDefault="00670BD9" w:rsidP="00670BD9">
      <w:pPr>
        <w:spacing w:line="276" w:lineRule="auto"/>
        <w:ind w:firstLine="720"/>
        <w:rPr>
          <w:sz w:val="24"/>
          <w:szCs w:val="24"/>
        </w:rPr>
      </w:pPr>
      <w:r w:rsidRPr="00670BD9">
        <w:rPr>
          <w:sz w:val="24"/>
          <w:szCs w:val="24"/>
        </w:rPr>
        <w:t>Herein, a modified PVDF membrane was fabricated to migrate the fouling and wetting phenomenon by grafting fluorinated TiO</w:t>
      </w:r>
      <w:r w:rsidRPr="00E0403A">
        <w:rPr>
          <w:sz w:val="24"/>
          <w:szCs w:val="24"/>
          <w:vertAlign w:val="subscript"/>
        </w:rPr>
        <w:t>2</w:t>
      </w:r>
      <w:r w:rsidRPr="00670BD9">
        <w:rPr>
          <w:sz w:val="24"/>
          <w:szCs w:val="24"/>
        </w:rPr>
        <w:t xml:space="preserve"> nanoparticles onto the substrate. The modification enhanced the roughness and lowered the surface energy, endowing the PVDF membrane with the superhydrophobic property. When immersed into the solution, an interface of solid-vapor-liquid will be formed on the superhydrophobic surface, which minimizes the direct contact between membrane surface and foulants (dissolved organic matters, surfactants, salts, etc.).</w:t>
      </w:r>
    </w:p>
    <w:p w14:paraId="36B2A0CE" w14:textId="1F21E964" w:rsidR="00006BEE" w:rsidRDefault="00670BD9" w:rsidP="00670BD9">
      <w:pPr>
        <w:spacing w:line="276" w:lineRule="auto"/>
        <w:ind w:firstLine="720"/>
        <w:rPr>
          <w:sz w:val="24"/>
          <w:szCs w:val="24"/>
          <w:lang w:eastAsia="zh-CN"/>
        </w:rPr>
      </w:pPr>
      <w:r w:rsidRPr="00670BD9">
        <w:rPr>
          <w:sz w:val="24"/>
          <w:szCs w:val="24"/>
        </w:rPr>
        <w:t xml:space="preserve">The surface chemical construction and surface segregation behavior were characterized and evaluated through contact angle measurements, scanning electron microscopy (SEM), atomic force microscopy (AFM), X-ray photoelectron spectroscopy (XPS), Fourier transform infrared (FTIR) spectroscopy, and direct contact MD (DCMD) test. The maximal water contact angle of the modified membrane was up to 157.4 while the sliding angle was smaller than 5. The hierarchical micro/nano </w:t>
      </w:r>
      <w:r w:rsidRPr="00670BD9">
        <w:rPr>
          <w:sz w:val="24"/>
          <w:szCs w:val="24"/>
        </w:rPr>
        <w:lastRenderedPageBreak/>
        <w:t>rough structures were observed on the membrane surface via the SEM and AFM images, which were constructed by the distributions of TiO</w:t>
      </w:r>
      <w:r w:rsidRPr="00C423FA">
        <w:rPr>
          <w:sz w:val="24"/>
          <w:szCs w:val="24"/>
          <w:vertAlign w:val="subscript"/>
        </w:rPr>
        <w:t>2</w:t>
      </w:r>
      <w:r w:rsidRPr="00670BD9">
        <w:rPr>
          <w:sz w:val="24"/>
          <w:szCs w:val="24"/>
        </w:rPr>
        <w:t xml:space="preserve"> nanoparticles. The anti-fouling property of the commercial and modified membrane was investigated by DCMD experiments with feed solution containing NaCl, HA and CaCl</w:t>
      </w:r>
      <w:r w:rsidRPr="00C423FA">
        <w:rPr>
          <w:sz w:val="24"/>
          <w:szCs w:val="24"/>
          <w:vertAlign w:val="subscript"/>
        </w:rPr>
        <w:t>2</w:t>
      </w:r>
      <w:r w:rsidRPr="00670BD9">
        <w:rPr>
          <w:sz w:val="24"/>
          <w:szCs w:val="24"/>
        </w:rPr>
        <w:t>, and the anti-wetting property was tested with feed solutions containing SDS and NaCl. An elevated performance on fouling and wetting resisting was observed from the modified membrane through the relatively stable fluxes and permeate conductivities</w:t>
      </w:r>
      <w:r w:rsidR="00F73576">
        <w:rPr>
          <w:sz w:val="24"/>
          <w:szCs w:val="24"/>
          <w:lang w:eastAsia="zh-CN"/>
        </w:rPr>
        <w:t>. Around 10% of flux decline was found in the fouling experiment of modified membrane, while there was almost 40% decrease in the flux of pristine PVDF membrane. For the wetting experiment, the modified membrane</w:t>
      </w:r>
      <w:r w:rsidR="0001201A">
        <w:rPr>
          <w:sz w:val="24"/>
          <w:szCs w:val="24"/>
          <w:lang w:eastAsia="zh-CN"/>
        </w:rPr>
        <w:t xml:space="preserve">’s performance </w:t>
      </w:r>
      <w:r w:rsidR="00F73576">
        <w:rPr>
          <w:sz w:val="24"/>
          <w:szCs w:val="24"/>
          <w:lang w:eastAsia="zh-CN"/>
        </w:rPr>
        <w:t xml:space="preserve">maintained </w:t>
      </w:r>
      <w:r w:rsidR="0001201A">
        <w:rPr>
          <w:sz w:val="24"/>
          <w:szCs w:val="24"/>
          <w:lang w:eastAsia="zh-CN"/>
        </w:rPr>
        <w:t>stable throughout the experiment, however, the pristine membrane is totally wetted in a short time.</w:t>
      </w:r>
      <w:r w:rsidR="00F73576">
        <w:rPr>
          <w:sz w:val="24"/>
          <w:szCs w:val="24"/>
          <w:lang w:eastAsia="zh-CN"/>
        </w:rPr>
        <w:t xml:space="preserve">  </w:t>
      </w:r>
    </w:p>
    <w:p w14:paraId="730363A3" w14:textId="64125AE6" w:rsidR="005503DE" w:rsidRDefault="005503DE" w:rsidP="00670BD9">
      <w:pPr>
        <w:spacing w:line="276" w:lineRule="auto"/>
        <w:ind w:firstLine="720"/>
        <w:rPr>
          <w:sz w:val="24"/>
          <w:szCs w:val="24"/>
          <w:lang w:eastAsia="zh-CN"/>
        </w:rPr>
      </w:pPr>
    </w:p>
    <w:p w14:paraId="2F361EF8" w14:textId="77777777" w:rsidR="005503DE" w:rsidRDefault="005503DE" w:rsidP="00670BD9">
      <w:pPr>
        <w:spacing w:line="276" w:lineRule="auto"/>
        <w:ind w:firstLine="720"/>
        <w:rPr>
          <w:sz w:val="24"/>
          <w:szCs w:val="24"/>
          <w:lang w:eastAsia="zh-CN"/>
        </w:rPr>
      </w:pPr>
      <w:bookmarkStart w:id="0" w:name="_GoBack"/>
      <w:bookmarkEnd w:id="0"/>
    </w:p>
    <w:tbl>
      <w:tblPr>
        <w:bidiVisual/>
        <w:tblW w:w="9887" w:type="dxa"/>
        <w:tblLayout w:type="fixed"/>
        <w:tblLook w:val="0000" w:firstRow="0" w:lastRow="0" w:firstColumn="0" w:lastColumn="0" w:noHBand="0" w:noVBand="0"/>
      </w:tblPr>
      <w:tblGrid>
        <w:gridCol w:w="2983"/>
        <w:gridCol w:w="241"/>
        <w:gridCol w:w="6663"/>
      </w:tblGrid>
      <w:tr w:rsidR="005503DE" w14:paraId="57F8625E" w14:textId="77777777" w:rsidTr="00D843D5">
        <w:tc>
          <w:tcPr>
            <w:tcW w:w="2983" w:type="dxa"/>
          </w:tcPr>
          <w:p w14:paraId="756B609A" w14:textId="77777777" w:rsidR="005503DE" w:rsidRDefault="005503DE" w:rsidP="00D843D5">
            <w:pPr>
              <w:jc w:val="center"/>
              <w:rPr>
                <w:rtl/>
              </w:rPr>
            </w:pPr>
            <w:r>
              <w:rPr>
                <w:noProof/>
              </w:rPr>
              <w:drawing>
                <wp:inline distT="0" distB="0" distL="0" distR="0" wp14:anchorId="526D8DF4" wp14:editId="4FEBAB92">
                  <wp:extent cx="5334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3365F473" w14:textId="77777777" w:rsidR="005503DE" w:rsidRDefault="005503DE" w:rsidP="00D843D5">
            <w:pPr>
              <w:rPr>
                <w:rtl/>
              </w:rPr>
            </w:pPr>
          </w:p>
          <w:p w14:paraId="695FA708" w14:textId="77777777" w:rsidR="005503DE" w:rsidRDefault="005503DE" w:rsidP="00D843D5">
            <w:pPr>
              <w:rPr>
                <w:rtl/>
              </w:rPr>
            </w:pPr>
          </w:p>
          <w:p w14:paraId="1597D425" w14:textId="77777777" w:rsidR="005503DE" w:rsidRDefault="005503DE" w:rsidP="00D843D5">
            <w:pPr>
              <w:rPr>
                <w:rtl/>
              </w:rPr>
            </w:pPr>
          </w:p>
        </w:tc>
        <w:tc>
          <w:tcPr>
            <w:tcW w:w="6663" w:type="dxa"/>
          </w:tcPr>
          <w:p w14:paraId="7CB25B0A" w14:textId="77777777" w:rsidR="005503DE" w:rsidRDefault="005503DE" w:rsidP="00D843D5">
            <w:pPr>
              <w:rPr>
                <w:rtl/>
              </w:rPr>
            </w:pPr>
          </w:p>
          <w:p w14:paraId="615B9966" w14:textId="77777777" w:rsidR="005503DE" w:rsidRDefault="005503DE" w:rsidP="00D843D5">
            <w:pPr>
              <w:rPr>
                <w:rtl/>
              </w:rPr>
            </w:pPr>
          </w:p>
          <w:p w14:paraId="1218C72F" w14:textId="77777777" w:rsidR="005503DE" w:rsidRDefault="005503DE" w:rsidP="00D843D5">
            <w:pPr>
              <w:pStyle w:val="Header"/>
              <w:rPr>
                <w:sz w:val="28"/>
                <w:szCs w:val="28"/>
                <w:rtl/>
              </w:rPr>
            </w:pPr>
            <w:r>
              <w:rPr>
                <w:sz w:val="28"/>
                <w:szCs w:val="28"/>
                <w:rtl/>
              </w:rPr>
              <w:t xml:space="preserve"> הטכניון  -  מכון טכנולוגי לישראל</w:t>
            </w:r>
          </w:p>
          <w:p w14:paraId="5B9E037B" w14:textId="77777777" w:rsidR="005503DE" w:rsidRDefault="005503DE" w:rsidP="00D843D5">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 - ISRAEL INSTITUTE OF TECHNOLOGY </w:t>
            </w:r>
          </w:p>
        </w:tc>
      </w:tr>
      <w:tr w:rsidR="005503DE" w14:paraId="54FB2465" w14:textId="77777777" w:rsidTr="00D843D5">
        <w:tc>
          <w:tcPr>
            <w:tcW w:w="2983" w:type="dxa"/>
            <w:shd w:val="clear" w:color="auto" w:fill="auto"/>
          </w:tcPr>
          <w:p w14:paraId="6EE2A46F" w14:textId="77777777" w:rsidR="005503DE" w:rsidRDefault="005503DE" w:rsidP="00D843D5">
            <w:pPr>
              <w:pStyle w:val="Header"/>
              <w:jc w:val="center"/>
              <w:rPr>
                <w:szCs w:val="22"/>
                <w:rtl/>
              </w:rPr>
            </w:pPr>
            <w:r>
              <w:rPr>
                <w:szCs w:val="22"/>
                <w:rtl/>
              </w:rPr>
              <w:t xml:space="preserve">הפקולטה להנדסה </w:t>
            </w:r>
            <w:r>
              <w:rPr>
                <w:rFonts w:hint="cs"/>
                <w:szCs w:val="22"/>
                <w:rtl/>
              </w:rPr>
              <w:t>כימית</w:t>
            </w:r>
          </w:p>
          <w:p w14:paraId="07CB32EF" w14:textId="77777777" w:rsidR="005503DE" w:rsidRDefault="005503DE" w:rsidP="00D843D5">
            <w:pPr>
              <w:jc w:val="center"/>
              <w:rPr>
                <w:szCs w:val="22"/>
                <w:rtl/>
              </w:rPr>
            </w:pPr>
            <w:r>
              <w:rPr>
                <w:rFonts w:hint="cs"/>
                <w:szCs w:val="22"/>
                <w:rtl/>
              </w:rPr>
              <w:t>ע"ש וולפסון</w:t>
            </w:r>
          </w:p>
        </w:tc>
        <w:tc>
          <w:tcPr>
            <w:tcW w:w="241" w:type="dxa"/>
          </w:tcPr>
          <w:p w14:paraId="196DB100" w14:textId="77777777" w:rsidR="005503DE" w:rsidRDefault="005503DE" w:rsidP="00D843D5">
            <w:pPr>
              <w:rPr>
                <w:rtl/>
              </w:rPr>
            </w:pPr>
          </w:p>
        </w:tc>
        <w:tc>
          <w:tcPr>
            <w:tcW w:w="6663" w:type="dxa"/>
          </w:tcPr>
          <w:p w14:paraId="202C0CFE" w14:textId="77777777" w:rsidR="005503DE" w:rsidRDefault="005503DE" w:rsidP="00D843D5">
            <w:pPr>
              <w:rPr>
                <w:rtl/>
              </w:rPr>
            </w:pPr>
          </w:p>
        </w:tc>
      </w:tr>
      <w:tr w:rsidR="005503DE" w14:paraId="7E13A352" w14:textId="77777777" w:rsidTr="00D843D5">
        <w:tc>
          <w:tcPr>
            <w:tcW w:w="2983" w:type="dxa"/>
            <w:shd w:val="clear" w:color="auto" w:fill="auto"/>
          </w:tcPr>
          <w:p w14:paraId="41B01267" w14:textId="77777777" w:rsidR="005503DE" w:rsidRDefault="005503DE" w:rsidP="00D843D5">
            <w:pPr>
              <w:jc w:val="center"/>
              <w:rPr>
                <w:rFonts w:ascii="Arial" w:hAnsi="Arial"/>
                <w:sz w:val="16"/>
                <w:szCs w:val="16"/>
                <w:rtl/>
              </w:rPr>
            </w:pPr>
            <w:r>
              <w:rPr>
                <w:rFonts w:ascii="Arial" w:hAnsi="Arial"/>
                <w:sz w:val="16"/>
                <w:szCs w:val="16"/>
              </w:rPr>
              <w:t>The Wolfson Department of Chemical Engineering</w:t>
            </w:r>
          </w:p>
        </w:tc>
        <w:tc>
          <w:tcPr>
            <w:tcW w:w="241" w:type="dxa"/>
          </w:tcPr>
          <w:p w14:paraId="1ABEDFD9" w14:textId="77777777" w:rsidR="005503DE" w:rsidRDefault="005503DE" w:rsidP="00D843D5">
            <w:pPr>
              <w:rPr>
                <w:rtl/>
              </w:rPr>
            </w:pPr>
          </w:p>
        </w:tc>
        <w:tc>
          <w:tcPr>
            <w:tcW w:w="6663" w:type="dxa"/>
          </w:tcPr>
          <w:p w14:paraId="279E46EC" w14:textId="77777777" w:rsidR="005503DE" w:rsidRDefault="005503DE" w:rsidP="00D843D5">
            <w:pPr>
              <w:rPr>
                <w:rtl/>
              </w:rPr>
            </w:pPr>
          </w:p>
        </w:tc>
      </w:tr>
    </w:tbl>
    <w:p w14:paraId="0B9F94E5" w14:textId="041FCC1E" w:rsidR="005503DE" w:rsidRDefault="005503DE" w:rsidP="00670BD9">
      <w:pPr>
        <w:spacing w:line="276" w:lineRule="auto"/>
        <w:ind w:firstLine="720"/>
        <w:rPr>
          <w:sz w:val="24"/>
          <w:szCs w:val="24"/>
          <w:lang w:eastAsia="zh-CN"/>
        </w:rPr>
      </w:pPr>
    </w:p>
    <w:p w14:paraId="52E653D8" w14:textId="692B611B" w:rsidR="005503DE" w:rsidRDefault="005503DE" w:rsidP="00670BD9">
      <w:pPr>
        <w:spacing w:line="276" w:lineRule="auto"/>
        <w:ind w:firstLine="720"/>
        <w:rPr>
          <w:sz w:val="24"/>
          <w:szCs w:val="24"/>
          <w:lang w:eastAsia="zh-CN"/>
        </w:rPr>
      </w:pPr>
    </w:p>
    <w:p w14:paraId="05887D49" w14:textId="77777777" w:rsidR="005503DE" w:rsidRPr="009A1505" w:rsidRDefault="005503DE" w:rsidP="005503DE">
      <w:pPr>
        <w:pStyle w:val="Footer"/>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14:paraId="603B1C21" w14:textId="77777777" w:rsidR="005503DE" w:rsidRPr="009A1505" w:rsidRDefault="005503DE" w:rsidP="005503DE">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56B30A2F" w14:textId="77777777" w:rsidR="005503DE" w:rsidRPr="009B4E9A" w:rsidRDefault="005503DE" w:rsidP="005503DE">
      <w:pPr>
        <w:contextualSpacing/>
        <w:jc w:val="center"/>
        <w:rPr>
          <w:b/>
          <w:bCs/>
          <w:color w:val="FF0000"/>
          <w:sz w:val="24"/>
          <w:szCs w:val="24"/>
        </w:rPr>
      </w:pPr>
      <w:r w:rsidRPr="009A1505">
        <w:rPr>
          <w:b/>
          <w:bCs/>
          <w:sz w:val="26"/>
          <w:szCs w:val="26"/>
        </w:rPr>
        <w:t>Wednesday</w:t>
      </w:r>
      <w:r>
        <w:rPr>
          <w:b/>
          <w:bCs/>
          <w:sz w:val="26"/>
          <w:szCs w:val="26"/>
        </w:rPr>
        <w:t>,</w:t>
      </w:r>
      <w:r w:rsidRPr="009A1505">
        <w:rPr>
          <w:b/>
          <w:bCs/>
          <w:sz w:val="26"/>
          <w:szCs w:val="26"/>
        </w:rPr>
        <w:t xml:space="preserve"> </w:t>
      </w:r>
      <w:r>
        <w:rPr>
          <w:b/>
          <w:bCs/>
          <w:sz w:val="26"/>
          <w:szCs w:val="26"/>
        </w:rPr>
        <w:t>August 25</w:t>
      </w:r>
      <w:r>
        <w:rPr>
          <w:b/>
          <w:bCs/>
          <w:sz w:val="26"/>
          <w:szCs w:val="26"/>
          <w:vertAlign w:val="superscript"/>
        </w:rPr>
        <w:t>th</w:t>
      </w:r>
      <w:r>
        <w:rPr>
          <w:b/>
          <w:bCs/>
          <w:sz w:val="26"/>
          <w:szCs w:val="26"/>
        </w:rPr>
        <w:t xml:space="preserve">, 2021 </w:t>
      </w:r>
      <w:r w:rsidRPr="009A1505">
        <w:rPr>
          <w:b/>
          <w:bCs/>
          <w:sz w:val="26"/>
          <w:szCs w:val="26"/>
        </w:rPr>
        <w:t xml:space="preserve">at </w:t>
      </w:r>
      <w:r>
        <w:rPr>
          <w:b/>
          <w:bCs/>
          <w:sz w:val="26"/>
          <w:szCs w:val="26"/>
        </w:rPr>
        <w:t xml:space="preserve">13:30 </w:t>
      </w:r>
    </w:p>
    <w:p w14:paraId="24A06FBB" w14:textId="39EB2EE1" w:rsidR="005503DE" w:rsidRDefault="005503DE" w:rsidP="00670BD9">
      <w:pPr>
        <w:spacing w:line="276" w:lineRule="auto"/>
        <w:ind w:firstLine="720"/>
        <w:rPr>
          <w:sz w:val="24"/>
          <w:szCs w:val="24"/>
          <w:lang w:eastAsia="zh-CN"/>
        </w:rPr>
      </w:pPr>
    </w:p>
    <w:p w14:paraId="0E722E54" w14:textId="4D681605" w:rsidR="005503DE" w:rsidRDefault="005503DE" w:rsidP="00670BD9">
      <w:pPr>
        <w:spacing w:line="276" w:lineRule="auto"/>
        <w:ind w:firstLine="720"/>
        <w:rPr>
          <w:sz w:val="24"/>
          <w:szCs w:val="24"/>
          <w:lang w:eastAsia="zh-CN"/>
        </w:rPr>
      </w:pPr>
    </w:p>
    <w:p w14:paraId="15B2D5B4" w14:textId="77777777" w:rsidR="005503DE" w:rsidRPr="001A238C" w:rsidRDefault="005503DE" w:rsidP="005503DE">
      <w:pPr>
        <w:contextualSpacing/>
        <w:jc w:val="center"/>
        <w:rPr>
          <w:b/>
          <w:bCs/>
          <w:sz w:val="26"/>
          <w:szCs w:val="26"/>
        </w:rPr>
      </w:pPr>
      <w:r>
        <w:rPr>
          <w:b/>
          <w:bCs/>
          <w:sz w:val="26"/>
          <w:szCs w:val="26"/>
        </w:rPr>
        <w:t>Online seminar via Zoom</w:t>
      </w:r>
    </w:p>
    <w:p w14:paraId="08BD1164" w14:textId="77777777" w:rsidR="005503DE" w:rsidRPr="00E3472E" w:rsidRDefault="005503DE" w:rsidP="005503DE">
      <w:pPr>
        <w:jc w:val="center"/>
        <w:rPr>
          <w:rFonts w:asciiTheme="majorBidi" w:hAnsiTheme="majorBidi" w:cstheme="majorBidi"/>
        </w:rPr>
      </w:pPr>
      <w:hyperlink r:id="rId10" w:tgtFrame="_blank" w:history="1">
        <w:r w:rsidRPr="00E3472E">
          <w:rPr>
            <w:rStyle w:val="Hyperlink"/>
            <w:rFonts w:asciiTheme="majorBidi" w:hAnsiTheme="majorBidi" w:cstheme="majorBidi"/>
            <w:color w:val="0E71EB"/>
            <w:sz w:val="21"/>
            <w:szCs w:val="21"/>
            <w:shd w:val="clear" w:color="auto" w:fill="FFFFFF"/>
          </w:rPr>
          <w:t>https://technion.zoom.us/j/98982676170</w:t>
        </w:r>
      </w:hyperlink>
    </w:p>
    <w:p w14:paraId="2D219EED" w14:textId="7DDAAD28" w:rsidR="005503DE" w:rsidRDefault="005503DE" w:rsidP="00670BD9">
      <w:pPr>
        <w:spacing w:line="276" w:lineRule="auto"/>
        <w:ind w:firstLine="720"/>
        <w:rPr>
          <w:sz w:val="24"/>
          <w:szCs w:val="24"/>
          <w:lang w:eastAsia="zh-CN"/>
        </w:rPr>
      </w:pPr>
    </w:p>
    <w:p w14:paraId="4931C72D" w14:textId="77777777" w:rsidR="005503DE" w:rsidRDefault="005503DE" w:rsidP="00670BD9">
      <w:pPr>
        <w:spacing w:line="276" w:lineRule="auto"/>
        <w:ind w:firstLine="720"/>
        <w:rPr>
          <w:sz w:val="24"/>
          <w:szCs w:val="24"/>
          <w:lang w:eastAsia="zh-CN"/>
        </w:rPr>
      </w:pPr>
    </w:p>
    <w:p w14:paraId="088A180E" w14:textId="77777777" w:rsidR="005503DE" w:rsidRDefault="005503DE" w:rsidP="005503DE">
      <w:pPr>
        <w:spacing w:before="100" w:beforeAutospacing="1" w:after="100" w:afterAutospacing="1"/>
        <w:contextualSpacing/>
        <w:jc w:val="center"/>
        <w:rPr>
          <w:b/>
          <w:bCs/>
          <w:sz w:val="16"/>
          <w:szCs w:val="16"/>
        </w:rPr>
      </w:pPr>
      <w:r w:rsidRPr="00B3000C">
        <w:rPr>
          <w:rFonts w:ascii="TimesNewRomanPS-BoldMT" w:hAnsi="TimesNewRomanPS-BoldMT" w:cs="TimesNewRomanPS-BoldMT"/>
          <w:b/>
          <w:bCs/>
          <w:sz w:val="32"/>
          <w:szCs w:val="32"/>
        </w:rPr>
        <w:t>Fe-Mn-</w:t>
      </w:r>
      <w:proofErr w:type="spellStart"/>
      <w:r w:rsidRPr="00B3000C">
        <w:rPr>
          <w:rFonts w:ascii="TimesNewRomanPS-BoldMT" w:hAnsi="TimesNewRomanPS-BoldMT" w:cs="TimesNewRomanPS-BoldMT"/>
          <w:b/>
          <w:bCs/>
          <w:sz w:val="32"/>
          <w:szCs w:val="32"/>
        </w:rPr>
        <w:t>Zr</w:t>
      </w:r>
      <w:proofErr w:type="spellEnd"/>
      <w:r w:rsidRPr="00B3000C">
        <w:rPr>
          <w:rFonts w:ascii="TimesNewRomanPS-BoldMT" w:hAnsi="TimesNewRomanPS-BoldMT" w:cs="TimesNewRomanPS-BoldMT"/>
          <w:b/>
          <w:bCs/>
          <w:sz w:val="32"/>
          <w:szCs w:val="32"/>
        </w:rPr>
        <w:t xml:space="preserve"> Tri-metal Oxide encapsulated in Calcium-alginate (TO-CA) as a magnetic sorbent for Copper Adsorption</w:t>
      </w:r>
    </w:p>
    <w:p w14:paraId="34E0960B" w14:textId="77777777" w:rsidR="005503DE" w:rsidRPr="007300B0" w:rsidRDefault="005503DE" w:rsidP="005503DE">
      <w:pPr>
        <w:spacing w:before="100" w:beforeAutospacing="1" w:after="100" w:afterAutospacing="1"/>
        <w:contextualSpacing/>
        <w:jc w:val="center"/>
        <w:rPr>
          <w:b/>
          <w:bCs/>
          <w:sz w:val="16"/>
          <w:szCs w:val="16"/>
        </w:rPr>
      </w:pPr>
    </w:p>
    <w:p w14:paraId="26E8E842" w14:textId="77777777" w:rsidR="005503DE" w:rsidRPr="009A1505" w:rsidRDefault="005503DE" w:rsidP="005503DE">
      <w:pPr>
        <w:spacing w:before="100" w:beforeAutospacing="1" w:after="100" w:afterAutospacing="1"/>
        <w:contextualSpacing/>
        <w:rPr>
          <w:b/>
          <w:bCs/>
          <w:sz w:val="16"/>
          <w:szCs w:val="16"/>
        </w:rPr>
      </w:pPr>
    </w:p>
    <w:p w14:paraId="5022F1A9" w14:textId="77777777" w:rsidR="005503DE" w:rsidRDefault="005503DE" w:rsidP="005503DE">
      <w:pPr>
        <w:widowControl w:val="0"/>
        <w:spacing w:line="360" w:lineRule="auto"/>
        <w:ind w:right="64"/>
        <w:jc w:val="center"/>
        <w:rPr>
          <w:rFonts w:asciiTheme="majorBidi" w:eastAsia="MS Mincho" w:hAnsiTheme="majorBidi" w:cstheme="majorBidi"/>
          <w:b/>
          <w:bCs/>
          <w:kern w:val="2"/>
          <w:sz w:val="28"/>
          <w:szCs w:val="28"/>
          <w:lang w:eastAsia="ja-JP"/>
        </w:rPr>
      </w:pPr>
      <w:proofErr w:type="spellStart"/>
      <w:r>
        <w:rPr>
          <w:rFonts w:asciiTheme="majorBidi" w:eastAsia="MS Mincho" w:hAnsiTheme="majorBidi" w:cstheme="majorBidi"/>
          <w:b/>
          <w:bCs/>
          <w:kern w:val="2"/>
          <w:sz w:val="28"/>
          <w:szCs w:val="28"/>
          <w:lang w:eastAsia="ja-JP"/>
        </w:rPr>
        <w:t>Baicheng</w:t>
      </w:r>
      <w:proofErr w:type="spellEnd"/>
      <w:r>
        <w:rPr>
          <w:rFonts w:asciiTheme="majorBidi" w:eastAsia="MS Mincho" w:hAnsiTheme="majorBidi" w:cstheme="majorBidi"/>
          <w:b/>
          <w:bCs/>
          <w:kern w:val="2"/>
          <w:sz w:val="28"/>
          <w:szCs w:val="28"/>
          <w:lang w:eastAsia="ja-JP"/>
        </w:rPr>
        <w:t xml:space="preserve"> Yuan</w:t>
      </w:r>
    </w:p>
    <w:p w14:paraId="679DB762" w14:textId="77777777" w:rsidR="005503DE" w:rsidRPr="008E3DBE" w:rsidRDefault="005503DE" w:rsidP="005503DE">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 Seminar</w:t>
      </w:r>
    </w:p>
    <w:p w14:paraId="28912663" w14:textId="77777777" w:rsidR="005503DE" w:rsidRPr="00642FD2" w:rsidRDefault="005503DE" w:rsidP="005503DE">
      <w:pPr>
        <w:widowControl w:val="0"/>
        <w:tabs>
          <w:tab w:val="right" w:pos="8666"/>
        </w:tabs>
        <w:ind w:left="-1144" w:right="-1170"/>
        <w:jc w:val="center"/>
        <w:rPr>
          <w:sz w:val="24"/>
          <w:szCs w:val="24"/>
        </w:rPr>
      </w:pPr>
      <w:r w:rsidRPr="00642FD2">
        <w:rPr>
          <w:sz w:val="24"/>
          <w:szCs w:val="24"/>
        </w:rPr>
        <w:t xml:space="preserve">Advisor: </w:t>
      </w:r>
      <w:r>
        <w:rPr>
          <w:sz w:val="24"/>
          <w:szCs w:val="24"/>
        </w:rPr>
        <w:t xml:space="preserve">Prof. Paul Chen; Prof. Raphael </w:t>
      </w:r>
      <w:proofErr w:type="spellStart"/>
      <w:r>
        <w:rPr>
          <w:sz w:val="24"/>
          <w:szCs w:val="24"/>
        </w:rPr>
        <w:t>Semiat</w:t>
      </w:r>
      <w:proofErr w:type="spellEnd"/>
      <w:r>
        <w:rPr>
          <w:sz w:val="24"/>
          <w:szCs w:val="24"/>
        </w:rPr>
        <w:t xml:space="preserve"> </w:t>
      </w:r>
    </w:p>
    <w:p w14:paraId="637A5A23" w14:textId="034D5B4C" w:rsidR="005503DE" w:rsidRPr="004E359E" w:rsidRDefault="005503DE" w:rsidP="005503D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Pr>
          <w:rFonts w:asciiTheme="majorBidi" w:hAnsiTheme="majorBidi" w:cstheme="majorBidi"/>
        </w:rPr>
        <w:t>Technion-Israel Institute for Technology</w:t>
      </w:r>
      <w:r>
        <w:rPr>
          <w:rFonts w:asciiTheme="majorBidi" w:hAnsiTheme="majorBidi" w:cstheme="majorBidi"/>
        </w:rPr>
        <w:t xml:space="preserve"> and GTIIT</w:t>
      </w:r>
    </w:p>
    <w:p w14:paraId="67E0D711" w14:textId="77777777" w:rsidR="005503DE" w:rsidRPr="004E359E" w:rsidRDefault="005503DE" w:rsidP="005503DE">
      <w:pPr>
        <w:spacing w:before="100" w:beforeAutospacing="1" w:after="100" w:afterAutospacing="1"/>
        <w:contextualSpacing/>
        <w:jc w:val="center"/>
        <w:rPr>
          <w:rFonts w:asciiTheme="majorBidi" w:hAnsiTheme="majorBidi" w:cstheme="majorBidi"/>
        </w:rPr>
      </w:pPr>
    </w:p>
    <w:p w14:paraId="37A785A9" w14:textId="77777777" w:rsidR="005503DE" w:rsidRPr="004E359E" w:rsidRDefault="005503DE" w:rsidP="005503DE">
      <w:pPr>
        <w:spacing w:before="100" w:beforeAutospacing="1" w:after="100" w:afterAutospacing="1" w:line="276" w:lineRule="auto"/>
        <w:contextualSpacing/>
        <w:jc w:val="center"/>
        <w:rPr>
          <w:rFonts w:asciiTheme="majorBidi" w:hAnsiTheme="majorBidi" w:cstheme="majorBidi"/>
        </w:rPr>
      </w:pPr>
    </w:p>
    <w:p w14:paraId="30BF801C" w14:textId="77777777" w:rsidR="005503DE" w:rsidRDefault="005503DE" w:rsidP="005503DE">
      <w:pPr>
        <w:spacing w:line="360" w:lineRule="auto"/>
        <w:ind w:firstLine="720"/>
        <w:jc w:val="both"/>
        <w:rPr>
          <w:sz w:val="24"/>
          <w:szCs w:val="24"/>
        </w:rPr>
      </w:pPr>
      <w:bookmarkStart w:id="1" w:name="_Hlk78900428"/>
      <w:r w:rsidRPr="00590861">
        <w:rPr>
          <w:sz w:val="24"/>
          <w:szCs w:val="24"/>
        </w:rPr>
        <w:t xml:space="preserve">In light of </w:t>
      </w:r>
      <w:r>
        <w:rPr>
          <w:sz w:val="24"/>
          <w:szCs w:val="24"/>
        </w:rPr>
        <w:t xml:space="preserve">the </w:t>
      </w:r>
      <w:r w:rsidRPr="00B3000C">
        <w:rPr>
          <w:sz w:val="24"/>
          <w:szCs w:val="24"/>
        </w:rPr>
        <w:t xml:space="preserve">demand on the electricity industries, the wastewater from the effluent containing high concentration of heavy metal </w:t>
      </w:r>
      <w:r>
        <w:rPr>
          <w:sz w:val="24"/>
          <w:szCs w:val="24"/>
        </w:rPr>
        <w:t>ions, such as copper,</w:t>
      </w:r>
      <w:r w:rsidRPr="00B3000C">
        <w:rPr>
          <w:sz w:val="24"/>
          <w:szCs w:val="24"/>
        </w:rPr>
        <w:t xml:space="preserve"> cause a series of health problem. </w:t>
      </w:r>
      <w:r>
        <w:rPr>
          <w:sz w:val="24"/>
          <w:szCs w:val="24"/>
        </w:rPr>
        <w:t>In this study, a kind of adsorbent, the Fe-Mn-</w:t>
      </w:r>
      <w:proofErr w:type="spellStart"/>
      <w:r>
        <w:rPr>
          <w:sz w:val="24"/>
          <w:szCs w:val="24"/>
        </w:rPr>
        <w:t>Zr</w:t>
      </w:r>
      <w:proofErr w:type="spellEnd"/>
      <w:r>
        <w:rPr>
          <w:sz w:val="24"/>
          <w:szCs w:val="24"/>
        </w:rPr>
        <w:t xml:space="preserve"> </w:t>
      </w:r>
      <w:r w:rsidRPr="00964FA5">
        <w:rPr>
          <w:sz w:val="24"/>
          <w:szCs w:val="24"/>
        </w:rPr>
        <w:t xml:space="preserve">tri-metal oxides encapsulated in Calcium alginate (TO-CA) was </w:t>
      </w:r>
      <w:r>
        <w:rPr>
          <w:sz w:val="24"/>
          <w:szCs w:val="24"/>
        </w:rPr>
        <w:t xml:space="preserve">explored to treat the high concentrated copper contaminants, as it has properties of </w:t>
      </w:r>
      <w:r w:rsidRPr="00F8728C">
        <w:rPr>
          <w:sz w:val="24"/>
          <w:szCs w:val="24"/>
        </w:rPr>
        <w:t xml:space="preserve">magnetic property, </w:t>
      </w:r>
      <w:r>
        <w:rPr>
          <w:sz w:val="24"/>
          <w:szCs w:val="24"/>
        </w:rPr>
        <w:t>harmlessness</w:t>
      </w:r>
      <w:r w:rsidRPr="00F8728C">
        <w:rPr>
          <w:sz w:val="24"/>
          <w:szCs w:val="24"/>
        </w:rPr>
        <w:t xml:space="preserve"> to the environment</w:t>
      </w:r>
      <w:r>
        <w:rPr>
          <w:sz w:val="24"/>
          <w:szCs w:val="24"/>
        </w:rPr>
        <w:t xml:space="preserve">, </w:t>
      </w:r>
      <w:r w:rsidRPr="007D5554">
        <w:rPr>
          <w:sz w:val="24"/>
          <w:szCs w:val="24"/>
        </w:rPr>
        <w:t xml:space="preserve">and most importantly adsorptive properties for removal of both </w:t>
      </w:r>
      <w:r w:rsidRPr="007D5554">
        <w:rPr>
          <w:sz w:val="24"/>
          <w:szCs w:val="24"/>
        </w:rPr>
        <w:lastRenderedPageBreak/>
        <w:t>cationic and anionic contaminants.</w:t>
      </w:r>
      <w:r>
        <w:rPr>
          <w:sz w:val="24"/>
          <w:szCs w:val="24"/>
        </w:rPr>
        <w:t xml:space="preserve"> </w:t>
      </w:r>
      <w:r w:rsidRPr="00B3000C">
        <w:rPr>
          <w:sz w:val="24"/>
          <w:szCs w:val="24"/>
        </w:rPr>
        <w:t xml:space="preserve">Calcium alginate is </w:t>
      </w:r>
      <w:r>
        <w:rPr>
          <w:sz w:val="24"/>
          <w:szCs w:val="24"/>
        </w:rPr>
        <w:t>originated from naturally grown algae</w:t>
      </w:r>
      <w:r w:rsidRPr="00B3000C">
        <w:rPr>
          <w:sz w:val="24"/>
          <w:szCs w:val="24"/>
        </w:rPr>
        <w:t xml:space="preserve"> </w:t>
      </w:r>
      <w:r>
        <w:rPr>
          <w:sz w:val="24"/>
          <w:szCs w:val="24"/>
        </w:rPr>
        <w:t>and</w:t>
      </w:r>
      <w:r w:rsidRPr="00B3000C">
        <w:rPr>
          <w:sz w:val="24"/>
          <w:szCs w:val="24"/>
        </w:rPr>
        <w:t xml:space="preserve"> was found to have high effectiveness </w:t>
      </w:r>
      <w:r>
        <w:rPr>
          <w:sz w:val="24"/>
          <w:szCs w:val="24"/>
        </w:rPr>
        <w:t>on</w:t>
      </w:r>
      <w:r w:rsidRPr="00B3000C">
        <w:rPr>
          <w:sz w:val="24"/>
          <w:szCs w:val="24"/>
        </w:rPr>
        <w:t xml:space="preserve"> heavy metal removal</w:t>
      </w:r>
      <w:r>
        <w:rPr>
          <w:sz w:val="24"/>
          <w:szCs w:val="24"/>
        </w:rPr>
        <w:t>. The Fe-Mn-</w:t>
      </w:r>
      <w:proofErr w:type="spellStart"/>
      <w:r>
        <w:rPr>
          <w:sz w:val="24"/>
          <w:szCs w:val="24"/>
        </w:rPr>
        <w:t>Zr</w:t>
      </w:r>
      <w:proofErr w:type="spellEnd"/>
      <w:r>
        <w:rPr>
          <w:sz w:val="24"/>
          <w:szCs w:val="24"/>
        </w:rPr>
        <w:t xml:space="preserve"> </w:t>
      </w:r>
      <w:r w:rsidRPr="00B3000C">
        <w:rPr>
          <w:sz w:val="24"/>
          <w:szCs w:val="24"/>
        </w:rPr>
        <w:t>tri-metal oxides microparticles</w:t>
      </w:r>
      <w:r>
        <w:rPr>
          <w:sz w:val="24"/>
          <w:szCs w:val="24"/>
        </w:rPr>
        <w:t xml:space="preserve"> </w:t>
      </w:r>
      <w:r w:rsidRPr="00B3000C">
        <w:rPr>
          <w:sz w:val="24"/>
          <w:szCs w:val="24"/>
        </w:rPr>
        <w:t>was synthesized by a simple co-precipitation method</w:t>
      </w:r>
      <w:r>
        <w:rPr>
          <w:sz w:val="24"/>
          <w:szCs w:val="24"/>
        </w:rPr>
        <w:t>, resulting in magnetic performance, and the calcium alginate, as a biopolymer, was reported to have good effect on copper removal. The Fe-Mn-</w:t>
      </w:r>
      <w:proofErr w:type="spellStart"/>
      <w:r>
        <w:rPr>
          <w:sz w:val="24"/>
          <w:szCs w:val="24"/>
        </w:rPr>
        <w:t>Zr</w:t>
      </w:r>
      <w:proofErr w:type="spellEnd"/>
      <w:r>
        <w:rPr>
          <w:sz w:val="24"/>
          <w:szCs w:val="24"/>
        </w:rPr>
        <w:t xml:space="preserve"> </w:t>
      </w:r>
      <w:r w:rsidRPr="00B3000C">
        <w:rPr>
          <w:sz w:val="24"/>
          <w:szCs w:val="24"/>
        </w:rPr>
        <w:t>tri-metal oxides microparticles</w:t>
      </w:r>
      <w:r>
        <w:rPr>
          <w:sz w:val="24"/>
          <w:szCs w:val="24"/>
        </w:rPr>
        <w:t xml:space="preserve"> can be easily encapsulated by </w:t>
      </w:r>
      <w:r w:rsidRPr="00B3000C">
        <w:rPr>
          <w:sz w:val="24"/>
          <w:szCs w:val="24"/>
        </w:rPr>
        <w:t xml:space="preserve">Calcium alginate. </w:t>
      </w:r>
    </w:p>
    <w:p w14:paraId="3DA2723C" w14:textId="77777777" w:rsidR="005503DE" w:rsidRDefault="005503DE" w:rsidP="005503DE">
      <w:pPr>
        <w:spacing w:line="360" w:lineRule="auto"/>
        <w:ind w:firstLine="720"/>
        <w:jc w:val="both"/>
        <w:rPr>
          <w:sz w:val="24"/>
          <w:szCs w:val="24"/>
        </w:rPr>
      </w:pPr>
      <w:r w:rsidRPr="00B3000C">
        <w:rPr>
          <w:sz w:val="24"/>
          <w:szCs w:val="24"/>
        </w:rPr>
        <w:t xml:space="preserve">The scanning electron microscopy with energy dispersive X-ray showed that the </w:t>
      </w:r>
      <w:r>
        <w:rPr>
          <w:sz w:val="24"/>
          <w:szCs w:val="24"/>
        </w:rPr>
        <w:t>TO-CA</w:t>
      </w:r>
      <w:r w:rsidRPr="00B3000C">
        <w:rPr>
          <w:sz w:val="24"/>
          <w:szCs w:val="24"/>
        </w:rPr>
        <w:t xml:space="preserve"> has rough surface with large holes and small pimples </w:t>
      </w:r>
      <w:r>
        <w:rPr>
          <w:sz w:val="24"/>
          <w:szCs w:val="24"/>
        </w:rPr>
        <w:t>on</w:t>
      </w:r>
      <w:r w:rsidRPr="00B3000C">
        <w:rPr>
          <w:sz w:val="24"/>
          <w:szCs w:val="24"/>
        </w:rPr>
        <w:t xml:space="preserve"> </w:t>
      </w:r>
      <w:r>
        <w:rPr>
          <w:sz w:val="24"/>
          <w:szCs w:val="24"/>
        </w:rPr>
        <w:t xml:space="preserve">the </w:t>
      </w:r>
      <w:r w:rsidRPr="00B3000C">
        <w:rPr>
          <w:sz w:val="24"/>
          <w:szCs w:val="24"/>
        </w:rPr>
        <w:t>surface</w:t>
      </w:r>
      <w:r>
        <w:rPr>
          <w:sz w:val="24"/>
          <w:szCs w:val="24"/>
        </w:rPr>
        <w:t xml:space="preserve"> that has element composition of O, Fe, Mn and </w:t>
      </w:r>
      <w:proofErr w:type="spellStart"/>
      <w:r>
        <w:rPr>
          <w:sz w:val="24"/>
          <w:szCs w:val="24"/>
        </w:rPr>
        <w:t>Zr</w:t>
      </w:r>
      <w:proofErr w:type="spellEnd"/>
      <w:r w:rsidRPr="00B3000C">
        <w:rPr>
          <w:sz w:val="24"/>
          <w:szCs w:val="24"/>
        </w:rPr>
        <w:t xml:space="preserve">. The adsorption process was highly pH-dependent, and the optimal adsorption was obtained at pH 5.0. The adsorption isotherm was fitted very well by Langmuir equation and the maximum adsorption capacity was found to be </w:t>
      </w:r>
      <w:r>
        <w:rPr>
          <w:sz w:val="24"/>
          <w:szCs w:val="24"/>
        </w:rPr>
        <w:t>81</w:t>
      </w:r>
      <w:r w:rsidRPr="00B3000C">
        <w:rPr>
          <w:sz w:val="24"/>
          <w:szCs w:val="24"/>
        </w:rPr>
        <w:t>.7 mg/g, much higher than most reported adsorbents. The adsorption rapidly occurred in the initial 2 h and then reach equilibrium within 9 h. The existence of sodium, potassium, nitrate, chloride, and sulfate had almost no effect on the copper adsorption</w:t>
      </w:r>
      <w:r>
        <w:rPr>
          <w:sz w:val="24"/>
          <w:szCs w:val="24"/>
        </w:rPr>
        <w:t>, but the ionic strength could decrease the adsorption capacity</w:t>
      </w:r>
      <w:r w:rsidRPr="00B3000C">
        <w:rPr>
          <w:sz w:val="24"/>
          <w:szCs w:val="24"/>
        </w:rPr>
        <w:t xml:space="preserve">. </w:t>
      </w:r>
      <w:r>
        <w:rPr>
          <w:sz w:val="24"/>
          <w:szCs w:val="24"/>
        </w:rPr>
        <w:t>The five-cycle experiments showed that the TO-CA could be recycled.</w:t>
      </w:r>
    </w:p>
    <w:p w14:paraId="1C054D41" w14:textId="77777777" w:rsidR="005503DE" w:rsidRPr="003F3B09" w:rsidRDefault="005503DE" w:rsidP="005503DE">
      <w:pPr>
        <w:spacing w:line="360" w:lineRule="auto"/>
        <w:ind w:firstLine="720"/>
        <w:jc w:val="both"/>
        <w:rPr>
          <w:sz w:val="24"/>
          <w:szCs w:val="24"/>
        </w:rPr>
      </w:pPr>
      <w:r w:rsidRPr="00B3000C">
        <w:rPr>
          <w:sz w:val="24"/>
          <w:szCs w:val="24"/>
        </w:rPr>
        <w:t>The Fourier transform infrared spectroscopy, the X-ray photoelectron spectroscopy analysis and the ion exchange experiment revealed that the adsorption mechanism of the copper was mainly due to the ion exchange between copper ions in the solution and the calcium ions on the adsorbent surface with slightly ion exchange between solution copper ions and the hydro</w:t>
      </w:r>
      <w:r>
        <w:rPr>
          <w:sz w:val="24"/>
          <w:szCs w:val="24"/>
        </w:rPr>
        <w:t>ge</w:t>
      </w:r>
      <w:r w:rsidRPr="00B3000C">
        <w:rPr>
          <w:sz w:val="24"/>
          <w:szCs w:val="24"/>
        </w:rPr>
        <w:t>n in the carboxyl functional groups of the adsorbent.</w:t>
      </w:r>
      <w:bookmarkEnd w:id="1"/>
      <w:r>
        <w:rPr>
          <w:sz w:val="24"/>
          <w:szCs w:val="24"/>
        </w:rPr>
        <w:t xml:space="preserve"> In conclusion, the magnetic material with method of encapsulation is a kind of prospective adsorbents in the heavy metal adsorption as a part of wastewater treatment. </w:t>
      </w:r>
    </w:p>
    <w:p w14:paraId="57C05502" w14:textId="77777777" w:rsidR="005503DE" w:rsidRPr="003F3B09" w:rsidRDefault="005503DE" w:rsidP="005503DE">
      <w:pPr>
        <w:bidi/>
        <w:spacing w:line="276" w:lineRule="auto"/>
        <w:ind w:firstLine="720"/>
        <w:rPr>
          <w:rFonts w:hint="cs"/>
          <w:sz w:val="24"/>
          <w:szCs w:val="24"/>
          <w:rtl/>
          <w:lang w:eastAsia="zh-CN"/>
        </w:rPr>
      </w:pPr>
    </w:p>
    <w:sectPr w:rsidR="005503DE" w:rsidRPr="003F3B09"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E64B5" w14:textId="77777777" w:rsidR="00805827" w:rsidRDefault="00805827" w:rsidP="00F51FFB">
      <w:r>
        <w:separator/>
      </w:r>
    </w:p>
  </w:endnote>
  <w:endnote w:type="continuationSeparator" w:id="0">
    <w:p w14:paraId="5DF4549F" w14:textId="77777777" w:rsidR="00805827" w:rsidRDefault="00805827"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riam">
    <w:altName w:val="Arial"/>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20B0604020202020204"/>
    <w:charset w:val="00"/>
    <w:family w:val="roman"/>
    <w:notTrueType/>
    <w:pitch w:val="default"/>
  </w:font>
  <w:font w:name="TimesNewRomanPS-BoldMT">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3365" w14:textId="77777777" w:rsidR="00805827" w:rsidRDefault="00805827" w:rsidP="00F51FFB">
      <w:r>
        <w:separator/>
      </w:r>
    </w:p>
  </w:footnote>
  <w:footnote w:type="continuationSeparator" w:id="0">
    <w:p w14:paraId="078EE3F2" w14:textId="77777777" w:rsidR="00805827" w:rsidRDefault="00805827"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201A"/>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67EA1"/>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A404F"/>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1B60"/>
    <w:rsid w:val="003B7586"/>
    <w:rsid w:val="003C730E"/>
    <w:rsid w:val="003D6294"/>
    <w:rsid w:val="003D78DA"/>
    <w:rsid w:val="003E3484"/>
    <w:rsid w:val="003E37B6"/>
    <w:rsid w:val="003F3B09"/>
    <w:rsid w:val="00400678"/>
    <w:rsid w:val="0040219C"/>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03DE"/>
    <w:rsid w:val="00552277"/>
    <w:rsid w:val="00553C31"/>
    <w:rsid w:val="0055766D"/>
    <w:rsid w:val="0056426B"/>
    <w:rsid w:val="00571E69"/>
    <w:rsid w:val="00580DAF"/>
    <w:rsid w:val="00581FBD"/>
    <w:rsid w:val="00586169"/>
    <w:rsid w:val="0058735A"/>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0BD9"/>
    <w:rsid w:val="00676131"/>
    <w:rsid w:val="00680DBE"/>
    <w:rsid w:val="00681944"/>
    <w:rsid w:val="00684BAD"/>
    <w:rsid w:val="00691D9A"/>
    <w:rsid w:val="006924B5"/>
    <w:rsid w:val="00693510"/>
    <w:rsid w:val="00693846"/>
    <w:rsid w:val="00694406"/>
    <w:rsid w:val="006A065B"/>
    <w:rsid w:val="006A50AE"/>
    <w:rsid w:val="006B0407"/>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05827"/>
    <w:rsid w:val="00810C28"/>
    <w:rsid w:val="00813171"/>
    <w:rsid w:val="00823880"/>
    <w:rsid w:val="00824301"/>
    <w:rsid w:val="00824823"/>
    <w:rsid w:val="00833143"/>
    <w:rsid w:val="0083704A"/>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513E0"/>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11FF"/>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3E3D"/>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23FA"/>
    <w:rsid w:val="00C45A57"/>
    <w:rsid w:val="00C60369"/>
    <w:rsid w:val="00C663D6"/>
    <w:rsid w:val="00C67C2F"/>
    <w:rsid w:val="00C74227"/>
    <w:rsid w:val="00C76A0B"/>
    <w:rsid w:val="00C846DB"/>
    <w:rsid w:val="00C967AA"/>
    <w:rsid w:val="00C96E66"/>
    <w:rsid w:val="00CB4180"/>
    <w:rsid w:val="00CC0256"/>
    <w:rsid w:val="00CC032E"/>
    <w:rsid w:val="00CC1F6F"/>
    <w:rsid w:val="00CD04E9"/>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403A"/>
    <w:rsid w:val="00E04830"/>
    <w:rsid w:val="00E0708A"/>
    <w:rsid w:val="00E13C6E"/>
    <w:rsid w:val="00E1497A"/>
    <w:rsid w:val="00E165AF"/>
    <w:rsid w:val="00E2369C"/>
    <w:rsid w:val="00E31DCA"/>
    <w:rsid w:val="00E32B43"/>
    <w:rsid w:val="00E3472E"/>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3576"/>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075F"/>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46173182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chnion.zoom.us/j/98982676170" TargetMode="External"/><Relationship Id="rId4" Type="http://schemas.openxmlformats.org/officeDocument/2006/relationships/settings" Target="settings.xml"/><Relationship Id="rId9" Type="http://schemas.openxmlformats.org/officeDocument/2006/relationships/hyperlink" Target="https://technion.zoom.us/j/98982676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267771-8041-454A-91F0-FD41A5C4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5686</Characters>
  <Application>Microsoft Office Word</Application>
  <DocSecurity>0</DocSecurity>
  <Lines>47</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Tamar Segal-peretz</cp:lastModifiedBy>
  <cp:revision>2</cp:revision>
  <cp:lastPrinted>2017-07-09T07:37:00Z</cp:lastPrinted>
  <dcterms:created xsi:type="dcterms:W3CDTF">2021-08-09T06:25:00Z</dcterms:created>
  <dcterms:modified xsi:type="dcterms:W3CDTF">2021-08-09T06:25:00Z</dcterms:modified>
</cp:coreProperties>
</file>