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56AD5F4B" w:rsidR="00E634F8" w:rsidRDefault="00D15113">
            <w:pPr>
              <w:rPr>
                <w:rtl/>
              </w:rPr>
            </w:pPr>
            <w:r w:rsidRPr="005501D9">
              <w:rPr>
                <w:noProof/>
                <w:rtl/>
              </w:rPr>
              <w:drawing>
                <wp:anchor distT="0" distB="0" distL="114300" distR="114300" simplePos="0" relativeHeight="251658240" behindDoc="0" locked="0" layoutInCell="1" allowOverlap="1" wp14:anchorId="3ADD4A2F" wp14:editId="03762061">
                  <wp:simplePos x="0" y="0"/>
                  <wp:positionH relativeFrom="column">
                    <wp:posOffset>10492</wp:posOffset>
                  </wp:positionH>
                  <wp:positionV relativeFrom="paragraph">
                    <wp:posOffset>-5853</wp:posOffset>
                  </wp:positionV>
                  <wp:extent cx="2281555" cy="128143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1281430"/>
                          </a:xfrm>
                          <a:prstGeom prst="rect">
                            <a:avLst/>
                          </a:prstGeom>
                          <a:noFill/>
                          <a:ln>
                            <a:noFill/>
                          </a:ln>
                        </pic:spPr>
                      </pic:pic>
                    </a:graphicData>
                  </a:graphic>
                </wp:anchor>
              </w:drawing>
            </w:r>
          </w:p>
          <w:p w14:paraId="6F366C45" w14:textId="1CF3F93D" w:rsidR="00E634F8" w:rsidRDefault="00E634F8" w:rsidP="00AA3292">
            <w:pPr>
              <w:rPr>
                <w:sz w:val="24"/>
                <w:szCs w:val="24"/>
              </w:rPr>
            </w:pP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5A2D7C44" w:rsidR="0036139B" w:rsidRPr="009A1505" w:rsidRDefault="0079042E" w:rsidP="009621FB">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 xml:space="preserve">Seminar </w:t>
      </w:r>
    </w:p>
    <w:p w14:paraId="678144C2" w14:textId="4341AF8C" w:rsidR="002246AF" w:rsidRDefault="00D3339A" w:rsidP="004E359E">
      <w:pPr>
        <w:contextualSpacing/>
        <w:jc w:val="center"/>
        <w:rPr>
          <w:b/>
          <w:bCs/>
          <w:sz w:val="26"/>
          <w:szCs w:val="26"/>
        </w:rPr>
      </w:pPr>
      <w:r w:rsidRPr="009A1505">
        <w:rPr>
          <w:b/>
          <w:bCs/>
          <w:sz w:val="26"/>
          <w:szCs w:val="26"/>
        </w:rPr>
        <w:t>Wednesday</w:t>
      </w:r>
      <w:r w:rsidR="009616B0">
        <w:rPr>
          <w:b/>
          <w:bCs/>
          <w:sz w:val="26"/>
          <w:szCs w:val="26"/>
        </w:rPr>
        <w:t>,</w:t>
      </w:r>
      <w:r w:rsidRPr="009A1505">
        <w:rPr>
          <w:b/>
          <w:bCs/>
          <w:sz w:val="26"/>
          <w:szCs w:val="26"/>
        </w:rPr>
        <w:t xml:space="preserve"> </w:t>
      </w:r>
      <w:r w:rsidR="00D15113">
        <w:rPr>
          <w:b/>
          <w:bCs/>
          <w:sz w:val="26"/>
          <w:szCs w:val="26"/>
        </w:rPr>
        <w:t>June</w:t>
      </w:r>
      <w:r w:rsidR="001F1408">
        <w:rPr>
          <w:b/>
          <w:bCs/>
          <w:sz w:val="26"/>
          <w:szCs w:val="26"/>
        </w:rPr>
        <w:t xml:space="preserve"> </w:t>
      </w:r>
      <w:r w:rsidR="007300B0">
        <w:rPr>
          <w:b/>
          <w:bCs/>
          <w:sz w:val="26"/>
          <w:szCs w:val="26"/>
        </w:rPr>
        <w:t>23</w:t>
      </w:r>
      <w:r w:rsidR="007300B0">
        <w:rPr>
          <w:b/>
          <w:bCs/>
          <w:sz w:val="26"/>
          <w:szCs w:val="26"/>
          <w:vertAlign w:val="superscript"/>
        </w:rPr>
        <w:t>r</w:t>
      </w:r>
      <w:r w:rsidR="00DB6A13">
        <w:rPr>
          <w:b/>
          <w:bCs/>
          <w:sz w:val="26"/>
          <w:szCs w:val="26"/>
          <w:vertAlign w:val="superscript"/>
        </w:rPr>
        <w:t>d</w:t>
      </w:r>
      <w:r w:rsidR="001F1408">
        <w:rPr>
          <w:b/>
          <w:bCs/>
          <w:sz w:val="26"/>
          <w:szCs w:val="26"/>
        </w:rPr>
        <w:t xml:space="preserve">, </w:t>
      </w:r>
      <w:r w:rsidR="009616B0">
        <w:rPr>
          <w:b/>
          <w:bCs/>
          <w:sz w:val="26"/>
          <w:szCs w:val="26"/>
        </w:rPr>
        <w:t>202</w:t>
      </w:r>
      <w:r w:rsidR="009621FB">
        <w:rPr>
          <w:b/>
          <w:bCs/>
          <w:sz w:val="26"/>
          <w:szCs w:val="26"/>
        </w:rPr>
        <w:t>1</w:t>
      </w:r>
      <w:r w:rsidR="00DF4C27">
        <w:rPr>
          <w:b/>
          <w:bCs/>
          <w:sz w:val="26"/>
          <w:szCs w:val="26"/>
        </w:rPr>
        <w:t>,</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p>
    <w:p w14:paraId="3F5F6375" w14:textId="77777777" w:rsidR="009621FB" w:rsidRDefault="009621FB" w:rsidP="009621FB">
      <w:pPr>
        <w:jc w:val="center"/>
        <w:rPr>
          <w:b/>
          <w:bCs/>
          <w:sz w:val="26"/>
          <w:szCs w:val="26"/>
        </w:rPr>
      </w:pPr>
      <w:r>
        <w:rPr>
          <w:b/>
          <w:bCs/>
          <w:sz w:val="26"/>
          <w:szCs w:val="26"/>
        </w:rPr>
        <w:t xml:space="preserve">Lecture Hall No. 6 </w:t>
      </w:r>
    </w:p>
    <w:p w14:paraId="692ECF2B" w14:textId="77777777" w:rsidR="00B478FB" w:rsidRDefault="00B478FB" w:rsidP="00B478FB">
      <w:pPr>
        <w:rPr>
          <w:rFonts w:ascii="TimesNewRomanPS-BoldMT" w:hAnsi="TimesNewRomanPS-BoldMT" w:cs="TimesNewRomanPS-BoldMT"/>
          <w:sz w:val="28"/>
          <w:szCs w:val="28"/>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58533952" w14:textId="77777777" w:rsidR="00D15113" w:rsidRPr="00D15113" w:rsidRDefault="00D15113" w:rsidP="00D15113">
      <w:pPr>
        <w:jc w:val="center"/>
        <w:rPr>
          <w:b/>
          <w:bCs/>
          <w:sz w:val="32"/>
          <w:szCs w:val="32"/>
          <w:shd w:val="clear" w:color="auto" w:fill="FFFFFF"/>
        </w:rPr>
      </w:pPr>
      <w:r w:rsidRPr="00D15113">
        <w:rPr>
          <w:b/>
          <w:bCs/>
          <w:sz w:val="32"/>
          <w:szCs w:val="32"/>
          <w:shd w:val="clear" w:color="auto" w:fill="FFFFFF"/>
        </w:rPr>
        <w:t>Degradation of PEM</w:t>
      </w:r>
      <w:r w:rsidRPr="00D15113">
        <w:rPr>
          <w:rFonts w:hint="cs"/>
          <w:b/>
          <w:bCs/>
          <w:sz w:val="32"/>
          <w:szCs w:val="32"/>
          <w:shd w:val="clear" w:color="auto" w:fill="FFFFFF"/>
        </w:rPr>
        <w:t>FC</w:t>
      </w:r>
      <w:r w:rsidRPr="00D15113">
        <w:rPr>
          <w:b/>
          <w:bCs/>
          <w:sz w:val="32"/>
          <w:szCs w:val="32"/>
          <w:shd w:val="clear" w:color="auto" w:fill="FFFFFF"/>
        </w:rPr>
        <w:t xml:space="preserve"> cathode due to NO </w:t>
      </w:r>
      <w:bookmarkStart w:id="0" w:name="_Hlk72682966"/>
      <w:r w:rsidRPr="00D15113">
        <w:rPr>
          <w:b/>
          <w:bCs/>
          <w:sz w:val="32"/>
          <w:szCs w:val="32"/>
          <w:shd w:val="clear" w:color="auto" w:fill="FFFFFF"/>
        </w:rPr>
        <w:t>contamination,</w:t>
      </w:r>
      <w:bookmarkEnd w:id="0"/>
      <w:r w:rsidRPr="00D15113">
        <w:rPr>
          <w:b/>
          <w:bCs/>
          <w:sz w:val="32"/>
          <w:szCs w:val="32"/>
          <w:shd w:val="clear" w:color="auto" w:fill="FFFFFF"/>
        </w:rPr>
        <w:t xml:space="preserve"> studied</w:t>
      </w:r>
      <w:r w:rsidRPr="00D15113">
        <w:rPr>
          <w:b/>
          <w:bCs/>
          <w:sz w:val="32"/>
          <w:szCs w:val="32"/>
        </w:rPr>
        <w:t xml:space="preserve"> </w:t>
      </w:r>
      <w:r w:rsidRPr="00D15113">
        <w:rPr>
          <w:b/>
          <w:bCs/>
          <w:sz w:val="32"/>
          <w:szCs w:val="32"/>
          <w:shd w:val="clear" w:color="auto" w:fill="FFFFFF"/>
        </w:rPr>
        <w:t xml:space="preserve">by </w:t>
      </w:r>
    </w:p>
    <w:p w14:paraId="0BCAEC43" w14:textId="77777777" w:rsidR="00D15113" w:rsidRPr="00D15113" w:rsidRDefault="00D15113" w:rsidP="00D15113">
      <w:pPr>
        <w:jc w:val="center"/>
        <w:rPr>
          <w:b/>
          <w:bCs/>
          <w:sz w:val="300"/>
          <w:szCs w:val="300"/>
        </w:rPr>
      </w:pPr>
      <w:r w:rsidRPr="00D15113">
        <w:rPr>
          <w:b/>
          <w:bCs/>
          <w:sz w:val="32"/>
          <w:szCs w:val="32"/>
          <w:shd w:val="clear" w:color="auto" w:fill="FFFFFF"/>
        </w:rPr>
        <w:t>Distribution of Relaxation Times analysis</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3A4D942F" w:rsidR="00444655" w:rsidRDefault="00D151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Arthur Doroshev</w:t>
      </w:r>
    </w:p>
    <w:p w14:paraId="44FC977D" w14:textId="09C50FF9" w:rsidR="00D15113" w:rsidRPr="00D15113" w:rsidRDefault="00DB6A13" w:rsidP="00D15113">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w:t>
      </w:r>
      <w:r w:rsidR="00D15113">
        <w:rPr>
          <w:rFonts w:asciiTheme="majorBidi" w:eastAsia="MS Mincho" w:hAnsiTheme="majorBidi" w:cstheme="majorBidi"/>
          <w:b/>
          <w:bCs/>
          <w:kern w:val="2"/>
          <w:sz w:val="28"/>
          <w:szCs w:val="28"/>
          <w:lang w:eastAsia="ja-JP"/>
        </w:rPr>
        <w:t>.</w:t>
      </w:r>
      <w:r>
        <w:rPr>
          <w:rFonts w:asciiTheme="majorBidi" w:eastAsia="MS Mincho" w:hAnsiTheme="majorBidi" w:cstheme="majorBidi"/>
          <w:b/>
          <w:bCs/>
          <w:kern w:val="2"/>
          <w:sz w:val="28"/>
          <w:szCs w:val="28"/>
          <w:lang w:eastAsia="ja-JP"/>
        </w:rPr>
        <w:t>Sc</w:t>
      </w:r>
      <w:r w:rsidR="00D15113">
        <w:rPr>
          <w:rFonts w:asciiTheme="majorBidi" w:eastAsia="MS Mincho" w:hAnsiTheme="majorBidi" w:cstheme="majorBidi"/>
          <w:b/>
          <w:bCs/>
          <w:kern w:val="2"/>
          <w:sz w:val="28"/>
          <w:szCs w:val="28"/>
          <w:lang w:eastAsia="ja-JP"/>
        </w:rPr>
        <w:t>.</w:t>
      </w:r>
      <w:r w:rsidR="00BB440A">
        <w:rPr>
          <w:rFonts w:asciiTheme="majorBidi" w:eastAsia="MS Mincho" w:hAnsiTheme="majorBidi" w:cstheme="majorBidi"/>
          <w:b/>
          <w:bCs/>
          <w:kern w:val="2"/>
          <w:sz w:val="28"/>
          <w:szCs w:val="28"/>
          <w:lang w:eastAsia="ja-JP"/>
        </w:rPr>
        <w:t xml:space="preserve"> Seminar</w:t>
      </w:r>
    </w:p>
    <w:p w14:paraId="755B4ED5" w14:textId="10FA12A2" w:rsidR="00D15113" w:rsidRPr="00D15113" w:rsidRDefault="00D15113" w:rsidP="00D15113">
      <w:pPr>
        <w:spacing w:before="100" w:beforeAutospacing="1" w:after="100" w:afterAutospacing="1"/>
        <w:contextualSpacing/>
        <w:jc w:val="center"/>
        <w:rPr>
          <w:rFonts w:asciiTheme="majorBidi" w:hAnsiTheme="majorBidi" w:cstheme="majorBidi"/>
        </w:rPr>
      </w:pPr>
      <w:r>
        <w:t xml:space="preserve"> </w:t>
      </w:r>
      <w:r>
        <w:rPr>
          <w:sz w:val="22"/>
          <w:szCs w:val="22"/>
        </w:rPr>
        <w:t>Grand Technion Energy Program (GTEP)</w:t>
      </w:r>
    </w:p>
    <w:p w14:paraId="08E03542" w14:textId="6CDB7943" w:rsidR="00444655" w:rsidRPr="00642FD2" w:rsidRDefault="00444655" w:rsidP="00444655">
      <w:pPr>
        <w:widowControl w:val="0"/>
        <w:tabs>
          <w:tab w:val="right" w:pos="8666"/>
        </w:tabs>
        <w:ind w:left="-1144" w:right="-1170"/>
        <w:jc w:val="center"/>
        <w:rPr>
          <w:sz w:val="24"/>
          <w:szCs w:val="24"/>
        </w:rPr>
      </w:pPr>
      <w:r w:rsidRPr="00642FD2">
        <w:rPr>
          <w:sz w:val="24"/>
          <w:szCs w:val="24"/>
        </w:rPr>
        <w:t xml:space="preserve">Advisor: </w:t>
      </w:r>
      <w:r w:rsidR="00D15113">
        <w:rPr>
          <w:sz w:val="22"/>
          <w:szCs w:val="22"/>
        </w:rPr>
        <w:t>Prof. Yoed Tsur</w:t>
      </w: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5FF92C50" w14:textId="77777777" w:rsidR="00D15113" w:rsidRDefault="00D15113" w:rsidP="00D15113">
      <w:pPr>
        <w:pStyle w:val="Default"/>
      </w:pPr>
    </w:p>
    <w:p w14:paraId="4B947A7A" w14:textId="0C23E6A7" w:rsidR="00D15113" w:rsidRDefault="00D15113" w:rsidP="00D15113">
      <w:pPr>
        <w:spacing w:line="276" w:lineRule="auto"/>
        <w:ind w:firstLine="720"/>
        <w:jc w:val="both"/>
        <w:rPr>
          <w:sz w:val="24"/>
          <w:szCs w:val="24"/>
        </w:rPr>
      </w:pPr>
      <w:r>
        <w:rPr>
          <w:color w:val="000000"/>
          <w:shd w:val="clear" w:color="auto" w:fill="FFFFFF"/>
        </w:rPr>
        <w:t> </w:t>
      </w:r>
      <w:r w:rsidRPr="00D15113">
        <w:rPr>
          <w:color w:val="000000"/>
          <w:sz w:val="24"/>
          <w:szCs w:val="24"/>
          <w:shd w:val="clear" w:color="auto" w:fill="FFFFFF"/>
        </w:rPr>
        <w:t>A polymer electrolyte membrane fuel cell (PEMFC) is an environmentally friendly energy converter with many advantages, including low operating temperatures (70-100</w:t>
      </w:r>
      <w:r w:rsidR="00036FF3">
        <w:rPr>
          <w:color w:val="000000"/>
          <w:sz w:val="24"/>
          <w:szCs w:val="24"/>
          <w:shd w:val="clear" w:color="auto" w:fill="FFFFFF"/>
        </w:rPr>
        <w:t> </w:t>
      </w:r>
      <w:r w:rsidRPr="00D15113">
        <w:rPr>
          <w:color w:val="000000"/>
          <w:sz w:val="24"/>
          <w:szCs w:val="24"/>
          <w:shd w:val="clear" w:color="auto" w:fill="FFFFFF"/>
        </w:rPr>
        <w:t>°C), high power density (~1.4</w:t>
      </w:r>
      <w:r w:rsidR="00036FF3">
        <w:rPr>
          <w:color w:val="000000"/>
          <w:sz w:val="24"/>
          <w:szCs w:val="24"/>
          <w:shd w:val="clear" w:color="auto" w:fill="FFFFFF"/>
        </w:rPr>
        <w:t> </w:t>
      </w:r>
      <w:r w:rsidRPr="00D15113">
        <w:rPr>
          <w:color w:val="000000"/>
          <w:sz w:val="24"/>
          <w:szCs w:val="24"/>
          <w:shd w:val="clear" w:color="auto" w:fill="FFFFFF"/>
        </w:rPr>
        <w:t>kW/kg), high electrical efficiency (40-60%), and quiet operation.</w:t>
      </w:r>
      <w:r w:rsidRPr="00D15113">
        <w:rPr>
          <w:sz w:val="32"/>
          <w:szCs w:val="32"/>
        </w:rPr>
        <w:t xml:space="preserve"> </w:t>
      </w:r>
      <w:r w:rsidRPr="00D15113">
        <w:rPr>
          <w:color w:val="000000"/>
          <w:sz w:val="24"/>
          <w:szCs w:val="24"/>
          <w:shd w:val="clear" w:color="auto" w:fill="FFFFFF"/>
        </w:rPr>
        <w:t xml:space="preserve">However, PEMFC commercialization is still hampered by cost and durability issues. The contamination of PEMFCs by impurities in feed streams is a </w:t>
      </w:r>
      <w:r>
        <w:rPr>
          <w:color w:val="000000"/>
          <w:sz w:val="24"/>
          <w:szCs w:val="24"/>
          <w:shd w:val="clear" w:color="auto" w:fill="FFFFFF"/>
        </w:rPr>
        <w:t>significant</w:t>
      </w:r>
      <w:r w:rsidRPr="00D15113">
        <w:rPr>
          <w:color w:val="000000"/>
          <w:sz w:val="24"/>
          <w:szCs w:val="24"/>
          <w:shd w:val="clear" w:color="auto" w:fill="FFFFFF"/>
        </w:rPr>
        <w:t xml:space="preserve"> contributor to durability issues. As a result, PEMFC technology development still necessitates intensive R&amp;D.</w:t>
      </w:r>
    </w:p>
    <w:p w14:paraId="1F7C4385" w14:textId="77777777" w:rsidR="00D15113" w:rsidRDefault="00D15113" w:rsidP="00D15113">
      <w:pPr>
        <w:spacing w:line="276" w:lineRule="auto"/>
        <w:ind w:firstLine="720"/>
        <w:jc w:val="both"/>
        <w:rPr>
          <w:rFonts w:asciiTheme="majorBidi" w:hAnsiTheme="majorBidi" w:cstheme="majorBidi"/>
          <w:color w:val="000000"/>
          <w:sz w:val="24"/>
          <w:szCs w:val="24"/>
          <w:shd w:val="clear" w:color="auto" w:fill="FFFFFF"/>
        </w:rPr>
      </w:pPr>
      <w:r w:rsidRPr="00D15113">
        <w:rPr>
          <w:rFonts w:asciiTheme="majorBidi" w:hAnsiTheme="majorBidi" w:cstheme="majorBidi"/>
          <w:color w:val="000000"/>
          <w:sz w:val="24"/>
          <w:szCs w:val="24"/>
          <w:shd w:val="clear" w:color="auto" w:fill="FFFFFF"/>
        </w:rPr>
        <w:t xml:space="preserve">In PEMFC research, EIS has been an indispensable diagnostic tool. An </w:t>
      </w:r>
      <w:r>
        <w:rPr>
          <w:rFonts w:asciiTheme="majorBidi" w:hAnsiTheme="majorBidi" w:cstheme="majorBidi"/>
          <w:color w:val="000000"/>
          <w:sz w:val="24"/>
          <w:szCs w:val="24"/>
          <w:shd w:val="clear" w:color="auto" w:fill="FFFFFF"/>
        </w:rPr>
        <w:t>essential</w:t>
      </w:r>
      <w:r w:rsidRPr="00D15113">
        <w:rPr>
          <w:rFonts w:asciiTheme="majorBidi" w:hAnsiTheme="majorBidi" w:cstheme="majorBidi"/>
          <w:color w:val="000000"/>
          <w:sz w:val="24"/>
          <w:szCs w:val="24"/>
          <w:shd w:val="clear" w:color="auto" w:fill="FFFFFF"/>
        </w:rPr>
        <w:t xml:space="preserve"> benefit of EIS is the ability to determine the total impedance from various components or processes within a PEMFC.</w:t>
      </w:r>
      <w:r w:rsidRPr="00D15113">
        <w:rPr>
          <w:rFonts w:asciiTheme="majorBidi" w:hAnsiTheme="majorBidi" w:cstheme="majorBidi"/>
          <w:sz w:val="32"/>
          <w:szCs w:val="32"/>
        </w:rPr>
        <w:t xml:space="preserve"> </w:t>
      </w:r>
      <w:r w:rsidRPr="00D15113">
        <w:rPr>
          <w:rFonts w:asciiTheme="majorBidi" w:hAnsiTheme="majorBidi" w:cstheme="majorBidi"/>
          <w:color w:val="000000"/>
          <w:sz w:val="24"/>
          <w:szCs w:val="24"/>
          <w:shd w:val="clear" w:color="auto" w:fill="FFFFFF"/>
        </w:rPr>
        <w:t xml:space="preserve">To identify contributors correctly, it is necessary to analyze EIS data </w:t>
      </w:r>
      <w:r>
        <w:rPr>
          <w:rFonts w:asciiTheme="majorBidi" w:hAnsiTheme="majorBidi" w:cstheme="majorBidi"/>
          <w:color w:val="000000"/>
          <w:sz w:val="24"/>
          <w:szCs w:val="24"/>
          <w:shd w:val="clear" w:color="auto" w:fill="FFFFFF"/>
        </w:rPr>
        <w:t>reliably</w:t>
      </w:r>
      <w:r w:rsidRPr="00D15113">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We have used the Impedance Spectroscopy Genetic Programming (ISGP) technique as an analysis tool to accomplish this</w:t>
      </w:r>
      <w:r w:rsidRPr="00D15113">
        <w:rPr>
          <w:rFonts w:asciiTheme="majorBidi" w:hAnsiTheme="majorBidi" w:cstheme="majorBidi"/>
          <w:color w:val="000000"/>
          <w:sz w:val="24"/>
          <w:szCs w:val="24"/>
          <w:shd w:val="clear" w:color="auto" w:fill="FFFFFF"/>
        </w:rPr>
        <w:t>.</w:t>
      </w:r>
    </w:p>
    <w:p w14:paraId="13AF7463" w14:textId="0285F853" w:rsidR="00D15113" w:rsidRDefault="00D15113" w:rsidP="00D15113">
      <w:pPr>
        <w:spacing w:line="276" w:lineRule="auto"/>
        <w:ind w:firstLine="720"/>
        <w:jc w:val="both"/>
        <w:rPr>
          <w:rFonts w:cs="Times New Roman"/>
          <w:color w:val="000000"/>
          <w:sz w:val="24"/>
          <w:szCs w:val="24"/>
          <w:shd w:val="clear" w:color="auto" w:fill="FFFFFF"/>
        </w:rPr>
      </w:pPr>
      <w:r w:rsidRPr="00D15113">
        <w:rPr>
          <w:rFonts w:cs="Times New Roman"/>
          <w:color w:val="000000"/>
          <w:sz w:val="24"/>
          <w:szCs w:val="24"/>
          <w:shd w:val="clear" w:color="auto" w:fill="FFFFFF"/>
        </w:rPr>
        <w:t xml:space="preserve">In the </w:t>
      </w:r>
      <w:r w:rsidR="00492954">
        <w:rPr>
          <w:rFonts w:cs="Times New Roman"/>
          <w:color w:val="000000"/>
          <w:sz w:val="24"/>
          <w:szCs w:val="24"/>
          <w:shd w:val="clear" w:color="auto" w:fill="FFFFFF"/>
        </w:rPr>
        <w:t>presented</w:t>
      </w:r>
      <w:r w:rsidRPr="00D15113">
        <w:rPr>
          <w:rFonts w:cs="Times New Roman"/>
          <w:color w:val="000000"/>
          <w:sz w:val="24"/>
          <w:szCs w:val="24"/>
          <w:shd w:val="clear" w:color="auto" w:fill="FFFFFF"/>
        </w:rPr>
        <w:t xml:space="preserve"> research, PEMFCs were operated under </w:t>
      </w:r>
      <w:r w:rsidR="00492954">
        <w:rPr>
          <w:rFonts w:cs="Times New Roman"/>
          <w:color w:val="000000"/>
          <w:sz w:val="24"/>
          <w:szCs w:val="24"/>
          <w:shd w:val="clear" w:color="auto" w:fill="FFFFFF"/>
        </w:rPr>
        <w:t>heavy</w:t>
      </w:r>
      <w:r w:rsidRPr="00D15113">
        <w:rPr>
          <w:rFonts w:cs="Times New Roman"/>
          <w:color w:val="000000"/>
          <w:sz w:val="24"/>
          <w:szCs w:val="24"/>
          <w:shd w:val="clear" w:color="auto" w:fill="FFFFFF"/>
        </w:rPr>
        <w:t xml:space="preserve"> NO cathode contamination levels, and </w:t>
      </w:r>
      <w:r w:rsidRPr="00D15113">
        <w:rPr>
          <w:rFonts w:cs="Times New Roman"/>
          <w:i/>
          <w:iCs/>
          <w:color w:val="000000"/>
          <w:sz w:val="24"/>
          <w:szCs w:val="24"/>
          <w:shd w:val="clear" w:color="auto" w:fill="FFFFFF"/>
        </w:rPr>
        <w:t>in operando </w:t>
      </w:r>
      <w:r w:rsidRPr="00D15113">
        <w:rPr>
          <w:rFonts w:cs="Times New Roman"/>
          <w:color w:val="000000"/>
          <w:sz w:val="24"/>
          <w:szCs w:val="24"/>
          <w:shd w:val="clear" w:color="auto" w:fill="FFFFFF"/>
        </w:rPr>
        <w:t xml:space="preserve">EIS measurements were performed. </w:t>
      </w:r>
      <w:r w:rsidR="00492954">
        <w:rPr>
          <w:rFonts w:cs="Times New Roman"/>
          <w:color w:val="000000"/>
          <w:sz w:val="24"/>
          <w:szCs w:val="24"/>
          <w:shd w:val="clear" w:color="auto" w:fill="FFFFFF"/>
        </w:rPr>
        <w:t>T</w:t>
      </w:r>
      <w:r w:rsidR="00492954" w:rsidRPr="00D15113">
        <w:rPr>
          <w:rFonts w:cs="Times New Roman"/>
          <w:color w:val="000000"/>
          <w:sz w:val="24"/>
          <w:szCs w:val="24"/>
          <w:shd w:val="clear" w:color="auto" w:fill="FFFFFF"/>
        </w:rPr>
        <w:t>he data w</w:t>
      </w:r>
      <w:r w:rsidR="00492954">
        <w:rPr>
          <w:rFonts w:cs="Times New Roman"/>
          <w:color w:val="000000"/>
          <w:sz w:val="24"/>
          <w:szCs w:val="24"/>
          <w:shd w:val="clear" w:color="auto" w:fill="FFFFFF"/>
        </w:rPr>
        <w:t>ere</w:t>
      </w:r>
      <w:r w:rsidR="00492954" w:rsidRPr="00D15113">
        <w:rPr>
          <w:rFonts w:cs="Times New Roman"/>
          <w:color w:val="000000"/>
          <w:sz w:val="24"/>
          <w:szCs w:val="24"/>
          <w:shd w:val="clear" w:color="auto" w:fill="FFFFFF"/>
        </w:rPr>
        <w:t xml:space="preserve"> analyzed using ISGP </w:t>
      </w:r>
      <w:r w:rsidR="00492954">
        <w:rPr>
          <w:rFonts w:cs="Times New Roman"/>
          <w:color w:val="000000"/>
          <w:sz w:val="24"/>
          <w:szCs w:val="24"/>
          <w:shd w:val="clear" w:color="auto" w:fill="FFFFFF"/>
        </w:rPr>
        <w:t>b</w:t>
      </w:r>
      <w:r w:rsidRPr="00D15113">
        <w:rPr>
          <w:rFonts w:cs="Times New Roman"/>
          <w:color w:val="000000"/>
          <w:sz w:val="24"/>
          <w:szCs w:val="24"/>
          <w:shd w:val="clear" w:color="auto" w:fill="FFFFFF"/>
        </w:rPr>
        <w:t xml:space="preserve">ased on </w:t>
      </w:r>
      <w:r w:rsidR="00492954">
        <w:rPr>
          <w:rFonts w:cs="Times New Roman"/>
          <w:color w:val="000000"/>
          <w:sz w:val="24"/>
          <w:szCs w:val="24"/>
          <w:shd w:val="clear" w:color="auto" w:fill="FFFFFF"/>
        </w:rPr>
        <w:t>a</w:t>
      </w:r>
      <w:r w:rsidRPr="00D15113">
        <w:rPr>
          <w:rFonts w:cs="Times New Roman"/>
          <w:color w:val="000000"/>
          <w:sz w:val="24"/>
          <w:szCs w:val="24"/>
          <w:shd w:val="clear" w:color="auto" w:fill="FFFFFF"/>
        </w:rPr>
        <w:t xml:space="preserve"> previously obtained model, revealing the impact of NO cathode contamination on each of the </w:t>
      </w:r>
      <w:r w:rsidR="00492954">
        <w:rPr>
          <w:rFonts w:cs="Times New Roman"/>
          <w:color w:val="000000"/>
          <w:sz w:val="24"/>
          <w:szCs w:val="24"/>
          <w:shd w:val="clear" w:color="auto" w:fill="FFFFFF"/>
        </w:rPr>
        <w:t>main</w:t>
      </w:r>
      <w:r w:rsidRPr="00D15113">
        <w:rPr>
          <w:rFonts w:cs="Times New Roman"/>
          <w:color w:val="000000"/>
          <w:sz w:val="24"/>
          <w:szCs w:val="24"/>
          <w:shd w:val="clear" w:color="auto" w:fill="FFFFFF"/>
        </w:rPr>
        <w:t xml:space="preserve"> processes within a fuel cell. </w:t>
      </w:r>
      <w:r w:rsidR="00492954">
        <w:rPr>
          <w:rFonts w:cs="Times New Roman"/>
          <w:color w:val="000000"/>
          <w:sz w:val="24"/>
          <w:szCs w:val="24"/>
          <w:shd w:val="clear" w:color="auto" w:fill="FFFFFF"/>
        </w:rPr>
        <w:t>A strategy to partially alleviate the damage caused by NO contamination is also suggested</w:t>
      </w:r>
      <w:r w:rsidRPr="00D15113">
        <w:rPr>
          <w:rFonts w:cs="Times New Roman"/>
          <w:color w:val="000000"/>
          <w:sz w:val="24"/>
          <w:szCs w:val="24"/>
          <w:shd w:val="clear" w:color="auto" w:fill="FFFFFF"/>
        </w:rPr>
        <w:t>. </w:t>
      </w:r>
    </w:p>
    <w:p w14:paraId="68944A63" w14:textId="1BF6A7B0" w:rsidR="009621FB" w:rsidRDefault="009621FB" w:rsidP="00D15113">
      <w:pPr>
        <w:spacing w:line="276" w:lineRule="auto"/>
        <w:ind w:firstLine="720"/>
        <w:jc w:val="both"/>
        <w:rPr>
          <w:rFonts w:cs="Times New Roman"/>
          <w:color w:val="000000"/>
          <w:sz w:val="32"/>
          <w:szCs w:val="32"/>
          <w:shd w:val="clear" w:color="auto" w:fill="FFFFFF"/>
        </w:rPr>
      </w:pPr>
    </w:p>
    <w:p w14:paraId="6E875DFC" w14:textId="77777777" w:rsidR="009621FB" w:rsidRPr="007865C0" w:rsidRDefault="009621FB" w:rsidP="009621FB">
      <w:pPr>
        <w:pStyle w:val="BodyText2"/>
        <w:bidi w:val="0"/>
        <w:spacing w:line="276" w:lineRule="auto"/>
        <w:jc w:val="center"/>
        <w:rPr>
          <w:b/>
          <w:bCs/>
          <w:sz w:val="28"/>
          <w:szCs w:val="28"/>
          <w:rtl/>
        </w:rPr>
      </w:pPr>
      <w:r w:rsidRPr="007865C0">
        <w:rPr>
          <w:b/>
          <w:bCs/>
          <w:sz w:val="28"/>
          <w:szCs w:val="28"/>
        </w:rPr>
        <w:t>Refreshments will be served at 13:15</w:t>
      </w:r>
    </w:p>
    <w:p w14:paraId="608BCEBF" w14:textId="7B196220" w:rsidR="003A1AF6" w:rsidRDefault="003A1AF6">
      <w:pPr>
        <w:rPr>
          <w:rFonts w:cs="Times New Roman"/>
          <w:color w:val="000000"/>
          <w:sz w:val="32"/>
          <w:szCs w:val="32"/>
          <w:shd w:val="clear" w:color="auto" w:fill="FFFFFF"/>
        </w:rPr>
      </w:pPr>
      <w:r>
        <w:rPr>
          <w:rFonts w:cs="Times New Roman"/>
          <w:color w:val="000000"/>
          <w:sz w:val="32"/>
          <w:szCs w:val="32"/>
          <w:shd w:val="clear" w:color="auto" w:fill="FFFFFF"/>
        </w:rPr>
        <w:br w:type="page"/>
      </w:r>
    </w:p>
    <w:p w14:paraId="1843B9CC" w14:textId="77777777" w:rsidR="003A1AF6" w:rsidRDefault="003A1AF6" w:rsidP="003A1AF6">
      <w:pPr>
        <w:bidi/>
      </w:pPr>
    </w:p>
    <w:tbl>
      <w:tblPr>
        <w:bidiVisual/>
        <w:tblW w:w="9887" w:type="dxa"/>
        <w:tblLayout w:type="fixed"/>
        <w:tblLook w:val="0000" w:firstRow="0" w:lastRow="0" w:firstColumn="0" w:lastColumn="0" w:noHBand="0" w:noVBand="0"/>
      </w:tblPr>
      <w:tblGrid>
        <w:gridCol w:w="2983"/>
        <w:gridCol w:w="241"/>
        <w:gridCol w:w="6663"/>
      </w:tblGrid>
      <w:tr w:rsidR="003A1AF6" w14:paraId="192166BC" w14:textId="77777777" w:rsidTr="00951C27">
        <w:tc>
          <w:tcPr>
            <w:tcW w:w="2983" w:type="dxa"/>
          </w:tcPr>
          <w:p w14:paraId="793B9063" w14:textId="77777777" w:rsidR="003A1AF6" w:rsidRDefault="003A1AF6" w:rsidP="00951C27">
            <w:pPr>
              <w:jc w:val="center"/>
              <w:rPr>
                <w:rtl/>
              </w:rPr>
            </w:pPr>
            <w:r>
              <w:rPr>
                <w:noProof/>
              </w:rPr>
              <w:drawing>
                <wp:inline distT="0" distB="0" distL="0" distR="0" wp14:anchorId="57BBBF85" wp14:editId="58AF2BD4">
                  <wp:extent cx="533400" cy="678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D1F1887" w14:textId="77777777" w:rsidR="003A1AF6" w:rsidRDefault="003A1AF6" w:rsidP="00951C27">
            <w:pPr>
              <w:rPr>
                <w:rtl/>
              </w:rPr>
            </w:pPr>
          </w:p>
          <w:p w14:paraId="2CFCE8E8" w14:textId="77777777" w:rsidR="003A1AF6" w:rsidRDefault="003A1AF6" w:rsidP="00951C27">
            <w:pPr>
              <w:rPr>
                <w:rtl/>
              </w:rPr>
            </w:pPr>
          </w:p>
          <w:p w14:paraId="7D7FDB7A" w14:textId="77777777" w:rsidR="003A1AF6" w:rsidRDefault="003A1AF6" w:rsidP="00951C27">
            <w:pPr>
              <w:rPr>
                <w:rtl/>
              </w:rPr>
            </w:pPr>
          </w:p>
        </w:tc>
        <w:tc>
          <w:tcPr>
            <w:tcW w:w="6663" w:type="dxa"/>
          </w:tcPr>
          <w:p w14:paraId="2D13D74D" w14:textId="77777777" w:rsidR="003A1AF6" w:rsidRDefault="003A1AF6" w:rsidP="00951C27">
            <w:pPr>
              <w:rPr>
                <w:rtl/>
              </w:rPr>
            </w:pPr>
          </w:p>
          <w:p w14:paraId="6D3761BD" w14:textId="77777777" w:rsidR="003A1AF6" w:rsidRDefault="003A1AF6" w:rsidP="00951C27">
            <w:pPr>
              <w:rPr>
                <w:rtl/>
              </w:rPr>
            </w:pPr>
          </w:p>
          <w:p w14:paraId="00AD756B" w14:textId="77777777" w:rsidR="003A1AF6" w:rsidRDefault="003A1AF6" w:rsidP="00951C27">
            <w:pPr>
              <w:pStyle w:val="Header"/>
              <w:rPr>
                <w:sz w:val="28"/>
                <w:szCs w:val="28"/>
                <w:rtl/>
              </w:rPr>
            </w:pPr>
            <w:r>
              <w:rPr>
                <w:sz w:val="28"/>
                <w:szCs w:val="28"/>
                <w:rtl/>
              </w:rPr>
              <w:t xml:space="preserve"> הטכניון  -  מכון טכנולוגי לישראל</w:t>
            </w:r>
          </w:p>
          <w:p w14:paraId="197E30C3" w14:textId="77777777" w:rsidR="003A1AF6" w:rsidRDefault="003A1AF6" w:rsidP="00951C27">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3A1AF6" w14:paraId="3A0F5F21" w14:textId="77777777" w:rsidTr="00951C27">
        <w:tc>
          <w:tcPr>
            <w:tcW w:w="2983" w:type="dxa"/>
            <w:shd w:val="clear" w:color="auto" w:fill="auto"/>
          </w:tcPr>
          <w:p w14:paraId="316EFAA0" w14:textId="77777777" w:rsidR="003A1AF6" w:rsidRDefault="003A1AF6" w:rsidP="00951C27">
            <w:pPr>
              <w:pStyle w:val="Header"/>
              <w:jc w:val="center"/>
              <w:rPr>
                <w:szCs w:val="22"/>
                <w:rtl/>
              </w:rPr>
            </w:pPr>
            <w:r>
              <w:rPr>
                <w:szCs w:val="22"/>
                <w:rtl/>
              </w:rPr>
              <w:t xml:space="preserve">הפקולטה להנדסה </w:t>
            </w:r>
            <w:r>
              <w:rPr>
                <w:rFonts w:hint="cs"/>
                <w:szCs w:val="22"/>
                <w:rtl/>
              </w:rPr>
              <w:t>כימית</w:t>
            </w:r>
          </w:p>
          <w:p w14:paraId="0991906D" w14:textId="77777777" w:rsidR="003A1AF6" w:rsidRDefault="003A1AF6" w:rsidP="00951C27">
            <w:pPr>
              <w:jc w:val="center"/>
              <w:rPr>
                <w:szCs w:val="22"/>
                <w:rtl/>
              </w:rPr>
            </w:pPr>
            <w:r>
              <w:rPr>
                <w:rFonts w:hint="cs"/>
                <w:szCs w:val="22"/>
                <w:rtl/>
              </w:rPr>
              <w:t>ע"ש וולפסון</w:t>
            </w:r>
          </w:p>
        </w:tc>
        <w:tc>
          <w:tcPr>
            <w:tcW w:w="241" w:type="dxa"/>
          </w:tcPr>
          <w:p w14:paraId="305E5B96" w14:textId="77777777" w:rsidR="003A1AF6" w:rsidRDefault="003A1AF6" w:rsidP="00951C27">
            <w:pPr>
              <w:rPr>
                <w:rtl/>
              </w:rPr>
            </w:pPr>
          </w:p>
        </w:tc>
        <w:tc>
          <w:tcPr>
            <w:tcW w:w="6663" w:type="dxa"/>
          </w:tcPr>
          <w:p w14:paraId="2EEC4B3E" w14:textId="77777777" w:rsidR="003A1AF6" w:rsidRDefault="003A1AF6" w:rsidP="00951C27">
            <w:pPr>
              <w:rPr>
                <w:rtl/>
              </w:rPr>
            </w:pPr>
          </w:p>
        </w:tc>
      </w:tr>
      <w:tr w:rsidR="003A1AF6" w14:paraId="5C5C1B54" w14:textId="77777777" w:rsidTr="00951C27">
        <w:tc>
          <w:tcPr>
            <w:tcW w:w="2983" w:type="dxa"/>
            <w:shd w:val="clear" w:color="auto" w:fill="auto"/>
          </w:tcPr>
          <w:p w14:paraId="7AC14FC3" w14:textId="77777777" w:rsidR="003A1AF6" w:rsidRDefault="003A1AF6" w:rsidP="00951C27">
            <w:pPr>
              <w:jc w:val="center"/>
              <w:rPr>
                <w:rFonts w:ascii="Arial" w:hAnsi="Arial"/>
                <w:sz w:val="16"/>
                <w:szCs w:val="16"/>
                <w:rtl/>
              </w:rPr>
            </w:pPr>
            <w:r>
              <w:rPr>
                <w:rFonts w:ascii="Arial" w:hAnsi="Arial"/>
                <w:sz w:val="16"/>
                <w:szCs w:val="16"/>
              </w:rPr>
              <w:t>The Wolfson Department of Chemical Engineering</w:t>
            </w:r>
          </w:p>
        </w:tc>
        <w:tc>
          <w:tcPr>
            <w:tcW w:w="241" w:type="dxa"/>
          </w:tcPr>
          <w:p w14:paraId="651DDB08" w14:textId="77777777" w:rsidR="003A1AF6" w:rsidRDefault="003A1AF6" w:rsidP="00951C27">
            <w:pPr>
              <w:rPr>
                <w:rtl/>
              </w:rPr>
            </w:pPr>
          </w:p>
        </w:tc>
        <w:tc>
          <w:tcPr>
            <w:tcW w:w="6663" w:type="dxa"/>
          </w:tcPr>
          <w:p w14:paraId="4568B106" w14:textId="77777777" w:rsidR="003A1AF6" w:rsidRDefault="003A1AF6" w:rsidP="00951C27">
            <w:pPr>
              <w:rPr>
                <w:rtl/>
              </w:rPr>
            </w:pPr>
          </w:p>
        </w:tc>
      </w:tr>
    </w:tbl>
    <w:p w14:paraId="549151C9" w14:textId="77777777" w:rsidR="003A1AF6" w:rsidRDefault="003A1AF6" w:rsidP="003A1AF6">
      <w:pPr>
        <w:pStyle w:val="Footer"/>
        <w:tabs>
          <w:tab w:val="clear" w:pos="4819"/>
          <w:tab w:val="clear" w:pos="9071"/>
        </w:tabs>
        <w:spacing w:line="280" w:lineRule="atLeast"/>
        <w:jc w:val="center"/>
        <w:rPr>
          <w:b/>
          <w:bCs/>
          <w:sz w:val="26"/>
          <w:szCs w:val="26"/>
        </w:rPr>
      </w:pPr>
    </w:p>
    <w:p w14:paraId="65FB77EA" w14:textId="77777777" w:rsidR="003A1AF6" w:rsidRPr="009A1505" w:rsidRDefault="003A1AF6" w:rsidP="003A1AF6">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7B343B6C" w14:textId="77777777" w:rsidR="003A1AF6" w:rsidRDefault="003A1AF6" w:rsidP="003A1AF6">
      <w:pPr>
        <w:contextualSpacing/>
        <w:jc w:val="center"/>
        <w:rPr>
          <w:b/>
          <w:bCs/>
          <w:sz w:val="26"/>
          <w:szCs w:val="26"/>
        </w:rPr>
      </w:pPr>
      <w:r>
        <w:rPr>
          <w:b/>
          <w:bCs/>
          <w:sz w:val="26"/>
          <w:szCs w:val="26"/>
        </w:rPr>
        <w:t>Wednesday,</w:t>
      </w:r>
      <w:r w:rsidRPr="009A1505">
        <w:rPr>
          <w:b/>
          <w:bCs/>
          <w:sz w:val="26"/>
          <w:szCs w:val="26"/>
        </w:rPr>
        <w:t xml:space="preserve"> </w:t>
      </w:r>
      <w:r>
        <w:rPr>
          <w:b/>
          <w:bCs/>
          <w:sz w:val="26"/>
          <w:szCs w:val="26"/>
        </w:rPr>
        <w:t>June 23</w:t>
      </w:r>
      <w:r>
        <w:rPr>
          <w:rFonts w:asciiTheme="majorBidi" w:hAnsiTheme="majorBidi" w:cstheme="majorBidi"/>
          <w:b/>
          <w:bCs/>
          <w:sz w:val="26"/>
          <w:szCs w:val="26"/>
          <w:vertAlign w:val="superscript"/>
        </w:rPr>
        <w:t>rd</w:t>
      </w:r>
      <w:r w:rsidRPr="00850ADC">
        <w:rPr>
          <w:rFonts w:asciiTheme="majorBidi" w:hAnsiTheme="majorBidi" w:cstheme="majorBidi"/>
          <w:b/>
          <w:bCs/>
          <w:sz w:val="26"/>
          <w:szCs w:val="26"/>
        </w:rPr>
        <w:t>, 202</w:t>
      </w:r>
      <w:r>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1DD8A243" w14:textId="77777777" w:rsidR="003A1AF6" w:rsidRDefault="003A1AF6" w:rsidP="003A1AF6">
      <w:pPr>
        <w:jc w:val="center"/>
        <w:rPr>
          <w:b/>
          <w:bCs/>
          <w:sz w:val="26"/>
          <w:szCs w:val="26"/>
        </w:rPr>
      </w:pPr>
      <w:r>
        <w:rPr>
          <w:b/>
          <w:bCs/>
          <w:sz w:val="26"/>
          <w:szCs w:val="26"/>
        </w:rPr>
        <w:t xml:space="preserve">Lecture Hall No. 6 </w:t>
      </w:r>
    </w:p>
    <w:p w14:paraId="1AD599EB" w14:textId="77777777" w:rsidR="003A1AF6" w:rsidRDefault="003A1AF6" w:rsidP="003A1AF6">
      <w:pPr>
        <w:jc w:val="center"/>
        <w:rPr>
          <w:rFonts w:ascii="TimesNewRomanPS-BoldMT" w:hAnsi="TimesNewRomanPS-BoldMT" w:cs="TimesNewRomanPS-BoldMT"/>
          <w:b/>
          <w:bCs/>
          <w:sz w:val="32"/>
          <w:szCs w:val="32"/>
        </w:rPr>
      </w:pPr>
    </w:p>
    <w:p w14:paraId="0F7E7AFB" w14:textId="77777777" w:rsidR="003A1AF6" w:rsidRPr="00D97F4C" w:rsidRDefault="003A1AF6" w:rsidP="003A1AF6">
      <w:pPr>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Dynamic coating of one liquid by another by employing the </w:t>
      </w:r>
      <w:proofErr w:type="spellStart"/>
      <w:r>
        <w:rPr>
          <w:rFonts w:ascii="TimesNewRomanPS-BoldMT" w:hAnsi="TimesNewRomanPS-BoldMT" w:cs="TimesNewRomanPS-BoldMT"/>
          <w:b/>
          <w:bCs/>
          <w:sz w:val="32"/>
          <w:szCs w:val="32"/>
        </w:rPr>
        <w:t>Acoustowetting</w:t>
      </w:r>
      <w:proofErr w:type="spellEnd"/>
      <w:r>
        <w:rPr>
          <w:rFonts w:ascii="TimesNewRomanPS-BoldMT" w:hAnsi="TimesNewRomanPS-BoldMT" w:cs="TimesNewRomanPS-BoldMT"/>
          <w:b/>
          <w:bCs/>
          <w:sz w:val="32"/>
          <w:szCs w:val="32"/>
        </w:rPr>
        <w:t xml:space="preserve"> phenomenon </w:t>
      </w:r>
    </w:p>
    <w:p w14:paraId="0240A1EA" w14:textId="77777777" w:rsidR="003A1AF6" w:rsidRPr="00D97F4C" w:rsidRDefault="003A1AF6" w:rsidP="003A1AF6">
      <w:pPr>
        <w:rPr>
          <w:rFonts w:ascii="TimesNewRomanPS-BoldMT" w:hAnsi="TimesNewRomanPS-BoldMT" w:cs="TimesNewRomanPS-BoldMT"/>
          <w:b/>
          <w:bCs/>
          <w:sz w:val="32"/>
          <w:szCs w:val="32"/>
        </w:rPr>
      </w:pPr>
    </w:p>
    <w:p w14:paraId="0490405D" w14:textId="77777777" w:rsidR="003A1AF6" w:rsidRPr="00D53B5E" w:rsidRDefault="003A1AF6" w:rsidP="003A1AF6">
      <w:pPr>
        <w:pStyle w:val="Heading2"/>
        <w:jc w:val="center"/>
        <w:rPr>
          <w:rFonts w:asciiTheme="majorBidi" w:hAnsiTheme="majorBidi"/>
          <w:b/>
          <w:bCs/>
          <w:sz w:val="24"/>
        </w:rPr>
      </w:pPr>
    </w:p>
    <w:p w14:paraId="2D01E5AA" w14:textId="77777777" w:rsidR="003A1AF6" w:rsidRPr="007F5511" w:rsidRDefault="003A1AF6" w:rsidP="003A1AF6">
      <w:pPr>
        <w:rPr>
          <w:rFonts w:ascii="TimesNewRomanPS-BoldMT" w:hAnsi="TimesNewRomanPS-BoldMT" w:cs="TimesNewRomanPS-BoldMT"/>
          <w:b/>
          <w:bCs/>
          <w:sz w:val="32"/>
          <w:szCs w:val="32"/>
        </w:rPr>
      </w:pPr>
    </w:p>
    <w:p w14:paraId="3CD465DE" w14:textId="77777777" w:rsidR="003A1AF6" w:rsidRPr="00C352D3" w:rsidRDefault="003A1AF6" w:rsidP="003A1AF6">
      <w:pPr>
        <w:pStyle w:val="NormalWeb"/>
        <w:jc w:val="center"/>
        <w:rPr>
          <w:rFonts w:asciiTheme="majorBidi" w:eastAsia="MS Mincho" w:hAnsiTheme="majorBidi" w:cstheme="majorBidi"/>
          <w:b/>
          <w:bCs/>
          <w:kern w:val="2"/>
          <w:sz w:val="28"/>
          <w:szCs w:val="28"/>
          <w:rtl/>
          <w:lang w:eastAsia="ja-JP"/>
        </w:rPr>
      </w:pPr>
      <w:r>
        <w:rPr>
          <w:rFonts w:asciiTheme="majorBidi" w:eastAsia="MS Mincho" w:hAnsiTheme="majorBidi" w:cstheme="majorBidi"/>
          <w:b/>
          <w:bCs/>
          <w:kern w:val="2"/>
          <w:sz w:val="28"/>
          <w:szCs w:val="28"/>
          <w:lang w:eastAsia="ja-JP"/>
        </w:rPr>
        <w:t xml:space="preserve">Avital </w:t>
      </w:r>
      <w:proofErr w:type="spellStart"/>
      <w:r>
        <w:rPr>
          <w:rFonts w:asciiTheme="majorBidi" w:eastAsia="MS Mincho" w:hAnsiTheme="majorBidi" w:cstheme="majorBidi"/>
          <w:b/>
          <w:bCs/>
          <w:kern w:val="2"/>
          <w:sz w:val="28"/>
          <w:szCs w:val="28"/>
          <w:lang w:eastAsia="ja-JP"/>
        </w:rPr>
        <w:t>Reizman</w:t>
      </w:r>
      <w:proofErr w:type="spellEnd"/>
    </w:p>
    <w:p w14:paraId="3B54CC4E" w14:textId="77777777" w:rsidR="003A1AF6" w:rsidRDefault="003A1AF6" w:rsidP="003A1AF6">
      <w:pPr>
        <w:spacing w:line="360" w:lineRule="auto"/>
        <w:jc w:val="center"/>
        <w:rPr>
          <w:rFonts w:asciiTheme="majorBidi" w:eastAsia="MS Mincho" w:hAnsiTheme="majorBidi" w:cstheme="majorBidi"/>
          <w:kern w:val="2"/>
          <w:sz w:val="22"/>
          <w:szCs w:val="22"/>
          <w:lang w:eastAsia="ja-JP"/>
        </w:rPr>
      </w:pPr>
      <w:r w:rsidRPr="00234A1F">
        <w:rPr>
          <w:rFonts w:asciiTheme="majorBidi" w:eastAsia="MS Mincho" w:hAnsiTheme="majorBidi" w:cstheme="majorBidi"/>
          <w:kern w:val="2"/>
          <w:sz w:val="22"/>
          <w:szCs w:val="22"/>
          <w:lang w:eastAsia="ja-JP"/>
        </w:rPr>
        <w:t xml:space="preserve">Department of Chemical Engineering, </w:t>
      </w:r>
      <w:r>
        <w:rPr>
          <w:rFonts w:asciiTheme="majorBidi" w:eastAsia="MS Mincho" w:hAnsiTheme="majorBidi" w:cstheme="majorBidi"/>
          <w:kern w:val="2"/>
          <w:sz w:val="22"/>
          <w:szCs w:val="22"/>
          <w:lang w:eastAsia="ja-JP"/>
        </w:rPr>
        <w:t>Technion</w:t>
      </w:r>
    </w:p>
    <w:p w14:paraId="3F2E959E" w14:textId="77777777" w:rsidR="003A1AF6" w:rsidRDefault="003A1AF6" w:rsidP="003A1AF6">
      <w:pPr>
        <w:spacing w:line="360" w:lineRule="auto"/>
        <w:jc w:val="center"/>
        <w:rPr>
          <w:rFonts w:asciiTheme="majorBidi" w:eastAsia="MS Mincho" w:hAnsiTheme="majorBidi" w:cstheme="majorBidi"/>
          <w:kern w:val="2"/>
          <w:sz w:val="22"/>
          <w:szCs w:val="22"/>
          <w:lang w:eastAsia="ja-JP"/>
        </w:rPr>
      </w:pPr>
      <w:r>
        <w:rPr>
          <w:rFonts w:asciiTheme="majorBidi" w:eastAsia="MS Mincho" w:hAnsiTheme="majorBidi" w:cstheme="majorBidi"/>
          <w:kern w:val="2"/>
          <w:sz w:val="22"/>
          <w:szCs w:val="22"/>
          <w:lang w:eastAsia="ja-JP"/>
        </w:rPr>
        <w:t>MSc Seminar</w:t>
      </w:r>
    </w:p>
    <w:p w14:paraId="792E9A99" w14:textId="77777777" w:rsidR="003A1AF6" w:rsidRDefault="003A1AF6" w:rsidP="003A1AF6">
      <w:pPr>
        <w:spacing w:line="360" w:lineRule="auto"/>
        <w:jc w:val="center"/>
        <w:rPr>
          <w:rFonts w:asciiTheme="majorBidi" w:hAnsiTheme="majorBidi" w:cstheme="majorBidi"/>
          <w:sz w:val="28"/>
          <w:szCs w:val="28"/>
        </w:rPr>
      </w:pPr>
      <w:r>
        <w:rPr>
          <w:rFonts w:asciiTheme="majorBidi" w:eastAsia="MS Mincho" w:hAnsiTheme="majorBidi" w:cstheme="majorBidi"/>
          <w:kern w:val="2"/>
          <w:sz w:val="22"/>
          <w:szCs w:val="22"/>
          <w:lang w:eastAsia="ja-JP"/>
        </w:rPr>
        <w:t xml:space="preserve">Advisor: Prof. </w:t>
      </w:r>
      <w:proofErr w:type="spellStart"/>
      <w:r>
        <w:rPr>
          <w:rFonts w:asciiTheme="majorBidi" w:eastAsia="MS Mincho" w:hAnsiTheme="majorBidi" w:cstheme="majorBidi"/>
          <w:kern w:val="2"/>
          <w:sz w:val="22"/>
          <w:szCs w:val="22"/>
          <w:lang w:eastAsia="ja-JP"/>
        </w:rPr>
        <w:t>Ofer</w:t>
      </w:r>
      <w:proofErr w:type="spellEnd"/>
      <w:r>
        <w:rPr>
          <w:rFonts w:asciiTheme="majorBidi" w:eastAsia="MS Mincho" w:hAnsiTheme="majorBidi" w:cstheme="majorBidi"/>
          <w:kern w:val="2"/>
          <w:sz w:val="22"/>
          <w:szCs w:val="22"/>
          <w:lang w:eastAsia="ja-JP"/>
        </w:rPr>
        <w:t xml:space="preserve"> Manor </w:t>
      </w:r>
    </w:p>
    <w:p w14:paraId="0BEDD55F" w14:textId="77777777" w:rsidR="003A1AF6" w:rsidRPr="00703501" w:rsidRDefault="003A1AF6" w:rsidP="003A1AF6">
      <w:pPr>
        <w:pStyle w:val="paragraph"/>
        <w:spacing w:before="0" w:beforeAutospacing="0" w:after="0" w:afterAutospacing="0" w:line="276" w:lineRule="auto"/>
        <w:jc w:val="both"/>
        <w:textAlignment w:val="baseline"/>
        <w:rPr>
          <w:rFonts w:cs="David"/>
        </w:rPr>
      </w:pPr>
      <w:bookmarkStart w:id="1" w:name="_GoBack"/>
      <w:r w:rsidRPr="00703501">
        <w:rPr>
          <w:rFonts w:cs="David"/>
        </w:rPr>
        <w:t>Recent advances in small scale and geographically flexible fabrication are believed to be the beginning of a manufacturing revolution. Some examples are 3D printers and suit-case size photolithography facilities. These advances highlight the necessity for a complementary advance in geographically flexible, small scale, and precise coating technologies. Dynamic wetting of solid substrates by liquid films of distinct thicknesses, called the Acoustowetting phenomenon, was discovered in the last decade and can be used to promote the development of coating technologies. To obtain a complementary advance in the field, we employ</w:t>
      </w:r>
      <w:r>
        <w:rPr>
          <w:rFonts w:cs="David"/>
          <w:lang w:val="en-US"/>
        </w:rPr>
        <w:t xml:space="preserve"> an acoustic actuator to produce</w:t>
      </w:r>
      <w:r w:rsidRPr="00703501">
        <w:rPr>
          <w:rFonts w:cs="David"/>
        </w:rPr>
        <w:t xml:space="preserve"> MHz-frequency surface acoustic waves, commonly named as SAWs,</w:t>
      </w:r>
      <w:r>
        <w:rPr>
          <w:rFonts w:cs="David"/>
          <w:lang w:val="en-US"/>
        </w:rPr>
        <w:t xml:space="preserve"> in the solid substrate</w:t>
      </w:r>
      <w:r w:rsidRPr="00703501">
        <w:rPr>
          <w:rFonts w:cs="David"/>
        </w:rPr>
        <w:t> to power and control the dynamic wetting of objects by a coating liquid.  </w:t>
      </w:r>
    </w:p>
    <w:p w14:paraId="558C27E3" w14:textId="258BB04C" w:rsidR="003A1AF6" w:rsidRPr="00703501" w:rsidRDefault="003A1AF6" w:rsidP="003A1AF6">
      <w:pPr>
        <w:pStyle w:val="paragraph"/>
        <w:spacing w:before="0" w:beforeAutospacing="0" w:after="0" w:afterAutospacing="0" w:line="276" w:lineRule="auto"/>
        <w:jc w:val="both"/>
        <w:textAlignment w:val="baseline"/>
        <w:rPr>
          <w:rFonts w:cs="David"/>
        </w:rPr>
      </w:pPr>
      <w:r w:rsidRPr="00703501">
        <w:rPr>
          <w:rFonts w:cs="David"/>
        </w:rPr>
        <w:t> </w:t>
      </w:r>
    </w:p>
    <w:p w14:paraId="7CE31657" w14:textId="77777777" w:rsidR="003A1AF6" w:rsidRPr="00703501" w:rsidRDefault="003A1AF6" w:rsidP="003A1AF6">
      <w:pPr>
        <w:pStyle w:val="paragraph"/>
        <w:spacing w:before="0" w:beforeAutospacing="0" w:after="0" w:afterAutospacing="0" w:line="276" w:lineRule="auto"/>
        <w:jc w:val="both"/>
        <w:textAlignment w:val="baseline"/>
        <w:rPr>
          <w:rFonts w:cs="David"/>
        </w:rPr>
      </w:pPr>
      <w:r w:rsidRPr="00703501">
        <w:rPr>
          <w:rFonts w:cs="David"/>
        </w:rPr>
        <w:t>In our</w:t>
      </w:r>
      <w:r>
        <w:rPr>
          <w:rFonts w:cs="David" w:hint="cs"/>
          <w:rtl/>
        </w:rPr>
        <w:t xml:space="preserve"> </w:t>
      </w:r>
      <w:r>
        <w:rPr>
          <w:rFonts w:cs="David"/>
          <w:lang w:val="en-US"/>
        </w:rPr>
        <w:t>physical</w:t>
      </w:r>
      <w:r w:rsidRPr="00703501">
        <w:rPr>
          <w:rFonts w:cs="David"/>
        </w:rPr>
        <w:t xml:space="preserve"> model, </w:t>
      </w:r>
      <w:r>
        <w:rPr>
          <w:rFonts w:cs="David"/>
          <w:lang w:val="en-US"/>
        </w:rPr>
        <w:t>we employ and acoustic actuator</w:t>
      </w:r>
      <w:r w:rsidRPr="00703501">
        <w:rPr>
          <w:rFonts w:cs="David"/>
        </w:rPr>
        <w:t xml:space="preserve"> </w:t>
      </w:r>
      <w:r>
        <w:rPr>
          <w:rFonts w:cs="David"/>
          <w:lang w:val="en-US"/>
        </w:rPr>
        <w:t>to coat</w:t>
      </w:r>
      <w:r w:rsidRPr="00703501">
        <w:rPr>
          <w:rFonts w:cs="David"/>
        </w:rPr>
        <w:t xml:space="preserve"> </w:t>
      </w:r>
      <w:r>
        <w:rPr>
          <w:rFonts w:cs="David"/>
          <w:lang w:val="en-US"/>
        </w:rPr>
        <w:t>a model smooth and well defined liquid system -- a</w:t>
      </w:r>
      <w:r w:rsidRPr="00703501">
        <w:rPr>
          <w:rFonts w:cs="David"/>
        </w:rPr>
        <w:t xml:space="preserve"> sessile water drop</w:t>
      </w:r>
      <w:r>
        <w:rPr>
          <w:rFonts w:cs="David"/>
          <w:lang w:val="en-US"/>
        </w:rPr>
        <w:t xml:space="preserve"> --</w:t>
      </w:r>
      <w:r w:rsidRPr="00703501">
        <w:rPr>
          <w:rFonts w:cs="David"/>
        </w:rPr>
        <w:t xml:space="preserve"> by a</w:t>
      </w:r>
      <w:r>
        <w:rPr>
          <w:rFonts w:cs="David"/>
          <w:lang w:val="en-US"/>
        </w:rPr>
        <w:t xml:space="preserve"> silicon</w:t>
      </w:r>
      <w:r w:rsidRPr="00703501">
        <w:rPr>
          <w:rFonts w:cs="David"/>
        </w:rPr>
        <w:t xml:space="preserve"> oil film.  </w:t>
      </w:r>
      <w:r>
        <w:rPr>
          <w:rFonts w:cs="David"/>
          <w:lang w:val="en-US"/>
        </w:rPr>
        <w:t>T</w:t>
      </w:r>
      <w:r w:rsidRPr="00703501">
        <w:rPr>
          <w:rFonts w:cs="David"/>
        </w:rPr>
        <w:t>he thicknesses of the water drop, and oil film are below the capillary gravitational length, of approximately 1 mm. In the presence of the SAW, we observe that a thin film of oil dynamically wets the solid substrate of the device along the path of the SAW. At sufficient SAW power, the oil film climbs </w:t>
      </w:r>
      <w:r>
        <w:rPr>
          <w:rFonts w:cs="David"/>
          <w:lang w:val="en-US"/>
        </w:rPr>
        <w:t>a</w:t>
      </w:r>
      <w:r w:rsidRPr="00703501">
        <w:rPr>
          <w:rFonts w:cs="David"/>
        </w:rPr>
        <w:t>top</w:t>
      </w:r>
      <w:r>
        <w:rPr>
          <w:rFonts w:cs="David"/>
          <w:lang w:val="en-US"/>
        </w:rPr>
        <w:t xml:space="preserve"> </w:t>
      </w:r>
      <w:r w:rsidRPr="00703501">
        <w:rPr>
          <w:rFonts w:cs="David"/>
        </w:rPr>
        <w:t>the water drop</w:t>
      </w:r>
      <w:r>
        <w:rPr>
          <w:rFonts w:cs="David"/>
          <w:lang w:val="en-US"/>
        </w:rPr>
        <w:t xml:space="preserve">, rendering a full coating layer. </w:t>
      </w:r>
      <w:r w:rsidRPr="00703501">
        <w:rPr>
          <w:rFonts w:cs="David"/>
        </w:rPr>
        <w:t>We thus show that one liquid may coat another in a directional manner under well-defined MHz-frequency acoustic stress. </w:t>
      </w:r>
    </w:p>
    <w:bookmarkEnd w:id="1"/>
    <w:p w14:paraId="2EDCF082" w14:textId="77777777" w:rsidR="003A1AF6" w:rsidRPr="00703501" w:rsidRDefault="003A1AF6" w:rsidP="003A1AF6">
      <w:pPr>
        <w:jc w:val="both"/>
        <w:rPr>
          <w:lang/>
        </w:rPr>
      </w:pPr>
    </w:p>
    <w:p w14:paraId="6D036A17" w14:textId="77777777" w:rsidR="003A1AF6" w:rsidRDefault="003A1AF6" w:rsidP="003A1AF6">
      <w:pPr>
        <w:spacing w:line="360" w:lineRule="auto"/>
        <w:rPr>
          <w:rFonts w:asciiTheme="majorBidi" w:hAnsiTheme="majorBidi" w:cstheme="majorBidi"/>
          <w:sz w:val="28"/>
          <w:szCs w:val="28"/>
        </w:rPr>
      </w:pPr>
    </w:p>
    <w:p w14:paraId="3709DD68" w14:textId="77777777" w:rsidR="003A1AF6" w:rsidRPr="00432DFC" w:rsidRDefault="003A1AF6" w:rsidP="003A1AF6">
      <w:pPr>
        <w:spacing w:line="360" w:lineRule="auto"/>
        <w:rPr>
          <w:rFonts w:asciiTheme="majorBidi" w:hAnsiTheme="majorBidi" w:cstheme="majorBidi"/>
          <w:sz w:val="28"/>
          <w:szCs w:val="28"/>
        </w:rPr>
      </w:pPr>
    </w:p>
    <w:p w14:paraId="107FABBC" w14:textId="77777777" w:rsidR="003A1AF6" w:rsidRPr="007865C0" w:rsidRDefault="003A1AF6" w:rsidP="003A1AF6">
      <w:pPr>
        <w:pStyle w:val="BodyText2"/>
        <w:bidi w:val="0"/>
        <w:spacing w:line="276" w:lineRule="auto"/>
        <w:jc w:val="center"/>
        <w:rPr>
          <w:b/>
          <w:bCs/>
          <w:sz w:val="28"/>
          <w:szCs w:val="28"/>
          <w:rtl/>
        </w:rPr>
      </w:pPr>
      <w:r w:rsidRPr="007865C0">
        <w:rPr>
          <w:b/>
          <w:bCs/>
          <w:sz w:val="28"/>
          <w:szCs w:val="28"/>
        </w:rPr>
        <w:t>Refreshments will be served at 13:15</w:t>
      </w:r>
    </w:p>
    <w:p w14:paraId="0CEC13AE" w14:textId="77777777" w:rsidR="003A1AF6" w:rsidRPr="001A6385" w:rsidRDefault="003A1AF6" w:rsidP="003A1AF6">
      <w:pPr>
        <w:spacing w:line="276" w:lineRule="auto"/>
        <w:jc w:val="both"/>
        <w:rPr>
          <w:rFonts w:asciiTheme="majorBidi" w:hAnsiTheme="majorBidi" w:cstheme="majorBidi"/>
          <w:sz w:val="21"/>
          <w:szCs w:val="21"/>
        </w:rPr>
      </w:pPr>
    </w:p>
    <w:p w14:paraId="17D66DEC" w14:textId="77777777" w:rsidR="009621FB" w:rsidRPr="00D15113" w:rsidRDefault="009621FB" w:rsidP="00D15113">
      <w:pPr>
        <w:spacing w:line="276" w:lineRule="auto"/>
        <w:ind w:firstLine="720"/>
        <w:jc w:val="both"/>
        <w:rPr>
          <w:rFonts w:cs="Times New Roman"/>
          <w:color w:val="000000"/>
          <w:sz w:val="32"/>
          <w:szCs w:val="32"/>
          <w:shd w:val="clear" w:color="auto" w:fill="FFFFFF"/>
        </w:rPr>
      </w:pPr>
    </w:p>
    <w:sectPr w:rsidR="009621FB" w:rsidRPr="00D15113"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8641" w14:textId="77777777" w:rsidR="002F2310" w:rsidRDefault="002F2310" w:rsidP="00F51FFB">
      <w:r>
        <w:separator/>
      </w:r>
    </w:p>
  </w:endnote>
  <w:endnote w:type="continuationSeparator" w:id="0">
    <w:p w14:paraId="3F3B64E3" w14:textId="77777777" w:rsidR="002F2310" w:rsidRDefault="002F2310"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Malgun Gothic Semilight"/>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NimbusRomNo9L-Regu">
    <w:altName w:val="Times New Roman"/>
    <w:panose1 w:val="020B0604020202020204"/>
    <w:charset w:val="00"/>
    <w:family w:val="roman"/>
    <w:notTrueType/>
    <w:pitch w:val="default"/>
  </w:font>
  <w:font w:name="TimesNewRomanPS-BoldMT">
    <w:altName w:val="Arial"/>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A7B0" w14:textId="77777777" w:rsidR="002F2310" w:rsidRDefault="002F2310" w:rsidP="00F51FFB">
      <w:r>
        <w:separator/>
      </w:r>
    </w:p>
  </w:footnote>
  <w:footnote w:type="continuationSeparator" w:id="0">
    <w:p w14:paraId="5C4DE6E4" w14:textId="77777777" w:rsidR="002F2310" w:rsidRDefault="002F2310"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staADrzt8UsAAAA"/>
  </w:docVars>
  <w:rsids>
    <w:rsidRoot w:val="00E634F8"/>
    <w:rsid w:val="0000134D"/>
    <w:rsid w:val="00006BEE"/>
    <w:rsid w:val="0000793D"/>
    <w:rsid w:val="00011DF6"/>
    <w:rsid w:val="00013D0A"/>
    <w:rsid w:val="00014160"/>
    <w:rsid w:val="00017FCD"/>
    <w:rsid w:val="00024DDA"/>
    <w:rsid w:val="000273CD"/>
    <w:rsid w:val="00033AD0"/>
    <w:rsid w:val="00036FF3"/>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2310"/>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1AF6"/>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954"/>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47465"/>
    <w:rsid w:val="005501D9"/>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21FB"/>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1D6C"/>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15113"/>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4C27"/>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57A8"/>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paragraph" w:customStyle="1" w:styleId="paragraph">
    <w:name w:val="paragraph"/>
    <w:basedOn w:val="Normal"/>
    <w:rsid w:val="003A1AF6"/>
    <w:pPr>
      <w:spacing w:before="100" w:beforeAutospacing="1" w:after="100" w:afterAutospacing="1"/>
    </w:pPr>
    <w:rPr>
      <w:rFonts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16C581-F9E2-FF40-B45D-2FF1BD8C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2</cp:revision>
  <cp:lastPrinted>2017-07-09T07:37:00Z</cp:lastPrinted>
  <dcterms:created xsi:type="dcterms:W3CDTF">2021-06-14T15:05:00Z</dcterms:created>
  <dcterms:modified xsi:type="dcterms:W3CDTF">2021-06-14T15:05:00Z</dcterms:modified>
</cp:coreProperties>
</file>