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45950" w14:textId="7691AB7D" w:rsidR="0042400C" w:rsidRDefault="00414F83" w:rsidP="0042400C">
      <w:pPr>
        <w:spacing w:line="240" w:lineRule="auto"/>
        <w:jc w:val="center"/>
      </w:pPr>
      <w:r>
        <w:rPr>
          <w:noProof/>
        </w:rPr>
        <w:drawing>
          <wp:anchor distT="0" distB="0" distL="114300" distR="114300" simplePos="0" relativeHeight="251659264" behindDoc="0" locked="0" layoutInCell="1" allowOverlap="1" wp14:anchorId="20712815" wp14:editId="45C335CF">
            <wp:simplePos x="0" y="0"/>
            <wp:positionH relativeFrom="margin">
              <wp:align>left</wp:align>
            </wp:positionH>
            <wp:positionV relativeFrom="paragraph">
              <wp:posOffset>-421098</wp:posOffset>
            </wp:positionV>
            <wp:extent cx="2332243" cy="1314450"/>
            <wp:effectExtent l="0" t="0" r="508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826" t="25051" r="85284" b="42221"/>
                    <a:stretch/>
                  </pic:blipFill>
                  <pic:spPr bwMode="auto">
                    <a:xfrm>
                      <a:off x="0" y="0"/>
                      <a:ext cx="2344871" cy="13215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434F378" wp14:editId="0BB817B7">
            <wp:simplePos x="0" y="0"/>
            <wp:positionH relativeFrom="margin">
              <wp:posOffset>3717290</wp:posOffset>
            </wp:positionH>
            <wp:positionV relativeFrom="paragraph">
              <wp:posOffset>-527050</wp:posOffset>
            </wp:positionV>
            <wp:extent cx="2131695" cy="1429512"/>
            <wp:effectExtent l="0" t="0" r="1905" b="571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1278" t="25051" r="69565" b="42221"/>
                    <a:stretch/>
                  </pic:blipFill>
                  <pic:spPr bwMode="auto">
                    <a:xfrm>
                      <a:off x="0" y="0"/>
                      <a:ext cx="2134535" cy="1431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7FFEF" w14:textId="77777777" w:rsidR="0042400C" w:rsidRDefault="0042400C" w:rsidP="0042400C">
      <w:pPr>
        <w:spacing w:line="240" w:lineRule="auto"/>
        <w:jc w:val="center"/>
      </w:pPr>
    </w:p>
    <w:p w14:paraId="237ABD92" w14:textId="77777777" w:rsidR="00414F83" w:rsidRDefault="00414F83" w:rsidP="0042400C">
      <w:pPr>
        <w:spacing w:line="240" w:lineRule="auto"/>
        <w:jc w:val="center"/>
      </w:pPr>
    </w:p>
    <w:p w14:paraId="1866D666" w14:textId="77777777" w:rsidR="00414F83" w:rsidRDefault="00414F83" w:rsidP="0042400C">
      <w:pPr>
        <w:spacing w:line="240" w:lineRule="auto"/>
        <w:jc w:val="center"/>
      </w:pPr>
    </w:p>
    <w:p w14:paraId="71523A35" w14:textId="77777777" w:rsidR="00414F83" w:rsidRPr="009A1505" w:rsidRDefault="00414F83" w:rsidP="00414F83">
      <w:pPr>
        <w:pStyle w:val="Footer"/>
        <w:tabs>
          <w:tab w:val="clear" w:pos="4819"/>
          <w:tab w:val="clear" w:pos="9071"/>
        </w:tabs>
        <w:spacing w:line="280" w:lineRule="atLeast"/>
        <w:jc w:val="center"/>
        <w:rPr>
          <w:b/>
          <w:bCs/>
          <w:sz w:val="26"/>
          <w:szCs w:val="26"/>
        </w:rPr>
      </w:pPr>
      <w:r w:rsidRPr="009A1505">
        <w:rPr>
          <w:b/>
          <w:bCs/>
          <w:sz w:val="26"/>
          <w:szCs w:val="26"/>
        </w:rPr>
        <w:t>Wolfson Department of Chemical Engineering Seminar</w:t>
      </w:r>
    </w:p>
    <w:p w14:paraId="7A8FFEF5" w14:textId="39AC15C6" w:rsidR="00414F83" w:rsidRDefault="00414F83" w:rsidP="00414F83">
      <w:pPr>
        <w:pStyle w:val="Footer"/>
        <w:tabs>
          <w:tab w:val="clear" w:pos="4819"/>
          <w:tab w:val="clear" w:pos="9071"/>
        </w:tabs>
        <w:spacing w:line="280" w:lineRule="atLeast"/>
        <w:jc w:val="center"/>
        <w:rPr>
          <w:b/>
          <w:bCs/>
          <w:sz w:val="26"/>
          <w:szCs w:val="26"/>
        </w:rPr>
      </w:pPr>
      <w:r>
        <w:rPr>
          <w:b/>
          <w:bCs/>
          <w:sz w:val="26"/>
          <w:szCs w:val="26"/>
        </w:rPr>
        <w:t>Thursday</w:t>
      </w:r>
      <w:r>
        <w:rPr>
          <w:b/>
          <w:bCs/>
          <w:sz w:val="26"/>
          <w:szCs w:val="26"/>
        </w:rPr>
        <w:t>,</w:t>
      </w:r>
      <w:r w:rsidRPr="009A1505">
        <w:rPr>
          <w:b/>
          <w:bCs/>
          <w:sz w:val="26"/>
          <w:szCs w:val="26"/>
        </w:rPr>
        <w:t xml:space="preserve"> </w:t>
      </w:r>
      <w:r>
        <w:rPr>
          <w:b/>
          <w:bCs/>
          <w:sz w:val="26"/>
          <w:szCs w:val="26"/>
        </w:rPr>
        <w:t>November 2</w:t>
      </w:r>
      <w:r>
        <w:rPr>
          <w:b/>
          <w:bCs/>
          <w:sz w:val="26"/>
          <w:szCs w:val="26"/>
        </w:rPr>
        <w:t>6</w:t>
      </w:r>
      <w:r w:rsidRPr="00414F83">
        <w:rPr>
          <w:b/>
          <w:bCs/>
          <w:sz w:val="26"/>
          <w:szCs w:val="26"/>
        </w:rPr>
        <w:t>th</w:t>
      </w:r>
      <w:r>
        <w:rPr>
          <w:b/>
          <w:bCs/>
          <w:sz w:val="26"/>
          <w:szCs w:val="26"/>
        </w:rPr>
        <w:t xml:space="preserve">, 2020 </w:t>
      </w:r>
      <w:r w:rsidRPr="009A1505">
        <w:rPr>
          <w:b/>
          <w:bCs/>
          <w:sz w:val="26"/>
          <w:szCs w:val="26"/>
        </w:rPr>
        <w:t xml:space="preserve">at </w:t>
      </w:r>
      <w:r>
        <w:rPr>
          <w:b/>
          <w:bCs/>
          <w:sz w:val="26"/>
          <w:szCs w:val="26"/>
        </w:rPr>
        <w:t>13:30</w:t>
      </w:r>
    </w:p>
    <w:p w14:paraId="19CC2C51" w14:textId="77777777" w:rsidR="00414F83" w:rsidRDefault="00414F83" w:rsidP="00414F83">
      <w:pPr>
        <w:pStyle w:val="Footer"/>
        <w:tabs>
          <w:tab w:val="clear" w:pos="4819"/>
          <w:tab w:val="clear" w:pos="9071"/>
        </w:tabs>
        <w:spacing w:line="280" w:lineRule="atLeast"/>
        <w:jc w:val="center"/>
        <w:rPr>
          <w:b/>
          <w:bCs/>
          <w:sz w:val="26"/>
          <w:szCs w:val="26"/>
        </w:rPr>
      </w:pPr>
    </w:p>
    <w:p w14:paraId="25FC0C9B" w14:textId="55C0D3AF" w:rsidR="00674569" w:rsidRPr="00414F83" w:rsidRDefault="00414F83" w:rsidP="00414F83">
      <w:pPr>
        <w:spacing w:after="0" w:line="240" w:lineRule="auto"/>
        <w:contextualSpacing/>
        <w:jc w:val="center"/>
        <w:rPr>
          <w:rFonts w:ascii="Times New Roman" w:eastAsia="Times New Roman" w:hAnsi="Times New Roman" w:cs="David"/>
          <w:b/>
          <w:bCs/>
          <w:sz w:val="26"/>
          <w:szCs w:val="26"/>
        </w:rPr>
      </w:pPr>
      <w:r w:rsidRPr="00414F83">
        <w:rPr>
          <w:rFonts w:ascii="Times New Roman" w:eastAsia="Times New Roman" w:hAnsi="Times New Roman" w:cs="David"/>
          <w:b/>
          <w:bCs/>
          <w:sz w:val="26"/>
          <w:szCs w:val="26"/>
        </w:rPr>
        <w:t>Online seminar via Zoom</w:t>
      </w:r>
    </w:p>
    <w:p w14:paraId="7F926D52" w14:textId="77777777" w:rsidR="00414F83" w:rsidRPr="00414F83" w:rsidRDefault="00414F83" w:rsidP="00414F83">
      <w:pPr>
        <w:spacing w:after="0" w:line="240" w:lineRule="auto"/>
        <w:jc w:val="center"/>
        <w:rPr>
          <w:rFonts w:asciiTheme="majorBidi" w:eastAsia="Times New Roman" w:hAnsiTheme="majorBidi" w:cstheme="majorBidi"/>
          <w:lang w:bidi="ar-SA"/>
        </w:rPr>
      </w:pPr>
      <w:hyperlink r:id="rId6" w:tgtFrame="_blank" w:history="1">
        <w:r w:rsidRPr="00414F83">
          <w:rPr>
            <w:rFonts w:asciiTheme="majorBidi" w:eastAsia="Times New Roman" w:hAnsiTheme="majorBidi" w:cstheme="majorBidi"/>
            <w:color w:val="0E71EB"/>
            <w:u w:val="single"/>
            <w:shd w:val="clear" w:color="auto" w:fill="FFFFFF"/>
            <w:lang w:bidi="ar-SA"/>
          </w:rPr>
          <w:t>https://technion.zoom.us/j/96214023785</w:t>
        </w:r>
      </w:hyperlink>
    </w:p>
    <w:p w14:paraId="6185C98C" w14:textId="77777777" w:rsidR="00414F83" w:rsidRPr="0042400C" w:rsidRDefault="00414F83" w:rsidP="0042400C">
      <w:pPr>
        <w:spacing w:line="240" w:lineRule="auto"/>
        <w:jc w:val="center"/>
      </w:pPr>
    </w:p>
    <w:p w14:paraId="5A6D4ABD" w14:textId="1CC0B02C" w:rsidR="0042400C" w:rsidRDefault="0042400C" w:rsidP="00414F83">
      <w:pPr>
        <w:spacing w:after="240" w:line="240" w:lineRule="auto"/>
        <w:jc w:val="center"/>
        <w:rPr>
          <w:rFonts w:ascii="TimesNewRomanPS-BoldMT" w:eastAsia="Times New Roman" w:hAnsi="TimesNewRomanPS-BoldMT" w:cs="TimesNewRomanPS-BoldMT"/>
          <w:b/>
          <w:bCs/>
          <w:sz w:val="32"/>
          <w:szCs w:val="32"/>
        </w:rPr>
      </w:pPr>
      <w:r w:rsidRPr="00414F83">
        <w:rPr>
          <w:rFonts w:ascii="TimesNewRomanPS-BoldMT" w:eastAsia="Times New Roman" w:hAnsi="TimesNewRomanPS-BoldMT" w:cs="TimesNewRomanPS-BoldMT"/>
          <w:b/>
          <w:bCs/>
          <w:sz w:val="32"/>
          <w:szCs w:val="32"/>
        </w:rPr>
        <w:t>Studying the Effect of Operating Conditions and CO</w:t>
      </w:r>
      <w:r w:rsidRPr="00414F83">
        <w:rPr>
          <w:rFonts w:ascii="TimesNewRomanPS-BoldMT" w:eastAsia="Times New Roman" w:hAnsi="TimesNewRomanPS-BoldMT" w:cs="TimesNewRomanPS-BoldMT"/>
          <w:b/>
          <w:bCs/>
          <w:sz w:val="32"/>
          <w:szCs w:val="32"/>
          <w:vertAlign w:val="subscript"/>
        </w:rPr>
        <w:t xml:space="preserve">2 </w:t>
      </w:r>
      <w:r w:rsidRPr="00414F83">
        <w:rPr>
          <w:rFonts w:ascii="TimesNewRomanPS-BoldMT" w:eastAsia="Times New Roman" w:hAnsi="TimesNewRomanPS-BoldMT" w:cs="TimesNewRomanPS-BoldMT"/>
          <w:b/>
          <w:bCs/>
          <w:sz w:val="32"/>
          <w:szCs w:val="32"/>
        </w:rPr>
        <w:t xml:space="preserve">Cathode Contamination on PEMFCs Using Distribution of Relaxation </w:t>
      </w:r>
      <w:bookmarkStart w:id="0" w:name="_GoBack"/>
      <w:bookmarkEnd w:id="0"/>
      <w:r w:rsidRPr="00414F83">
        <w:rPr>
          <w:rFonts w:ascii="TimesNewRomanPS-BoldMT" w:eastAsia="Times New Roman" w:hAnsi="TimesNewRomanPS-BoldMT" w:cs="TimesNewRomanPS-BoldMT"/>
          <w:b/>
          <w:bCs/>
          <w:sz w:val="32"/>
          <w:szCs w:val="32"/>
        </w:rPr>
        <w:t>Times Analysis</w:t>
      </w:r>
    </w:p>
    <w:p w14:paraId="273356F6" w14:textId="77777777" w:rsidR="00414F83" w:rsidRPr="00414F83" w:rsidRDefault="00414F83" w:rsidP="00414F83">
      <w:pPr>
        <w:spacing w:after="240" w:line="240" w:lineRule="auto"/>
        <w:jc w:val="center"/>
        <w:rPr>
          <w:rFonts w:ascii="TimesNewRomanPS-BoldMT" w:eastAsia="Times New Roman" w:hAnsi="TimesNewRomanPS-BoldMT" w:cs="TimesNewRomanPS-BoldMT"/>
          <w:b/>
          <w:bCs/>
          <w:sz w:val="32"/>
          <w:szCs w:val="32"/>
        </w:rPr>
      </w:pPr>
    </w:p>
    <w:p w14:paraId="20FDFD7F" w14:textId="1F5A5623" w:rsidR="0042400C" w:rsidRPr="00414F83" w:rsidRDefault="0042400C" w:rsidP="0042400C">
      <w:pPr>
        <w:spacing w:line="240" w:lineRule="auto"/>
        <w:jc w:val="center"/>
        <w:rPr>
          <w:rFonts w:asciiTheme="majorBidi" w:eastAsia="MS Mincho" w:hAnsiTheme="majorBidi" w:cstheme="majorBidi"/>
          <w:b/>
          <w:bCs/>
          <w:kern w:val="2"/>
          <w:sz w:val="28"/>
          <w:szCs w:val="28"/>
          <w:lang w:eastAsia="ja-JP"/>
        </w:rPr>
      </w:pPr>
      <w:r w:rsidRPr="00414F83">
        <w:rPr>
          <w:rFonts w:asciiTheme="majorBidi" w:eastAsia="MS Mincho" w:hAnsiTheme="majorBidi" w:cstheme="majorBidi"/>
          <w:b/>
          <w:bCs/>
          <w:kern w:val="2"/>
          <w:sz w:val="28"/>
          <w:szCs w:val="28"/>
          <w:lang w:eastAsia="ja-JP"/>
        </w:rPr>
        <w:t>Gal Avioz Cohen</w:t>
      </w:r>
    </w:p>
    <w:p w14:paraId="67A7362F" w14:textId="6136EA81" w:rsidR="0042400C" w:rsidRPr="00414F83" w:rsidRDefault="0042400C" w:rsidP="00414F83">
      <w:pPr>
        <w:pStyle w:val="NormalWeb"/>
        <w:jc w:val="center"/>
        <w:rPr>
          <w:rFonts w:asciiTheme="majorBidi" w:hAnsiTheme="majorBidi" w:cstheme="majorBidi"/>
          <w:sz w:val="22"/>
          <w:szCs w:val="22"/>
          <w:lang w:bidi="ar-SA"/>
        </w:rPr>
      </w:pPr>
      <w:r w:rsidRPr="00414F83">
        <w:rPr>
          <w:rFonts w:asciiTheme="majorBidi" w:hAnsiTheme="majorBidi" w:cstheme="majorBidi"/>
          <w:sz w:val="22"/>
          <w:szCs w:val="22"/>
          <w:lang w:bidi="ar-SA"/>
        </w:rPr>
        <w:t>Grand Technion Energy Program (GTEP)</w:t>
      </w:r>
    </w:p>
    <w:p w14:paraId="12CF3DE5" w14:textId="209623B5" w:rsidR="0042400C" w:rsidRPr="00414F83" w:rsidRDefault="0042400C" w:rsidP="00414F83">
      <w:pPr>
        <w:pStyle w:val="NormalWeb"/>
        <w:jc w:val="center"/>
        <w:rPr>
          <w:rFonts w:asciiTheme="majorBidi" w:hAnsiTheme="majorBidi" w:cstheme="majorBidi"/>
          <w:sz w:val="22"/>
          <w:szCs w:val="22"/>
          <w:lang w:bidi="ar-SA"/>
        </w:rPr>
      </w:pPr>
      <w:r w:rsidRPr="00414F83">
        <w:rPr>
          <w:rFonts w:asciiTheme="majorBidi" w:hAnsiTheme="majorBidi" w:cstheme="majorBidi"/>
          <w:sz w:val="22"/>
          <w:szCs w:val="22"/>
          <w:lang w:bidi="ar-SA"/>
        </w:rPr>
        <w:t>M.Sc. seminar</w:t>
      </w:r>
    </w:p>
    <w:p w14:paraId="3AADE24C" w14:textId="5CD0D6A5" w:rsidR="0042400C" w:rsidRDefault="0042400C" w:rsidP="00414F83">
      <w:pPr>
        <w:pStyle w:val="NormalWeb"/>
        <w:jc w:val="center"/>
        <w:rPr>
          <w:rFonts w:asciiTheme="majorBidi" w:hAnsiTheme="majorBidi" w:cstheme="majorBidi"/>
          <w:sz w:val="22"/>
          <w:szCs w:val="22"/>
          <w:lang w:bidi="ar-SA"/>
        </w:rPr>
      </w:pPr>
      <w:r w:rsidRPr="00414F83">
        <w:rPr>
          <w:rFonts w:asciiTheme="majorBidi" w:hAnsiTheme="majorBidi" w:cstheme="majorBidi"/>
          <w:sz w:val="22"/>
          <w:szCs w:val="22"/>
          <w:lang w:bidi="ar-SA"/>
        </w:rPr>
        <w:t xml:space="preserve">Advisor: Prof. </w:t>
      </w:r>
      <w:proofErr w:type="spellStart"/>
      <w:r w:rsidRPr="00414F83">
        <w:rPr>
          <w:rFonts w:asciiTheme="majorBidi" w:hAnsiTheme="majorBidi" w:cstheme="majorBidi"/>
          <w:sz w:val="22"/>
          <w:szCs w:val="22"/>
          <w:lang w:bidi="ar-SA"/>
        </w:rPr>
        <w:t>Yoed</w:t>
      </w:r>
      <w:proofErr w:type="spellEnd"/>
      <w:r w:rsidRPr="00414F83">
        <w:rPr>
          <w:rFonts w:asciiTheme="majorBidi" w:hAnsiTheme="majorBidi" w:cstheme="majorBidi"/>
          <w:sz w:val="22"/>
          <w:szCs w:val="22"/>
          <w:lang w:bidi="ar-SA"/>
        </w:rPr>
        <w:t xml:space="preserve"> </w:t>
      </w:r>
      <w:proofErr w:type="spellStart"/>
      <w:r w:rsidRPr="00414F83">
        <w:rPr>
          <w:rFonts w:asciiTheme="majorBidi" w:hAnsiTheme="majorBidi" w:cstheme="majorBidi"/>
          <w:sz w:val="22"/>
          <w:szCs w:val="22"/>
          <w:lang w:bidi="ar-SA"/>
        </w:rPr>
        <w:t>Tsur</w:t>
      </w:r>
      <w:proofErr w:type="spellEnd"/>
    </w:p>
    <w:p w14:paraId="52C74CFC" w14:textId="77777777" w:rsidR="00414F83" w:rsidRPr="00414F83" w:rsidRDefault="00414F83" w:rsidP="00414F83">
      <w:pPr>
        <w:pStyle w:val="NormalWeb"/>
        <w:jc w:val="center"/>
        <w:rPr>
          <w:rFonts w:asciiTheme="majorBidi" w:hAnsiTheme="majorBidi" w:cstheme="majorBidi"/>
          <w:sz w:val="22"/>
          <w:szCs w:val="22"/>
          <w:lang w:bidi="ar-SA"/>
        </w:rPr>
      </w:pPr>
    </w:p>
    <w:p w14:paraId="07B051E9" w14:textId="54DAF65F" w:rsidR="0042400C" w:rsidRPr="00414F83" w:rsidRDefault="0042400C" w:rsidP="0042400C">
      <w:pPr>
        <w:spacing w:line="240" w:lineRule="auto"/>
        <w:ind w:firstLine="567"/>
        <w:rPr>
          <w:rFonts w:asciiTheme="majorBidi" w:hAnsiTheme="majorBidi" w:cstheme="majorBidi"/>
        </w:rPr>
      </w:pPr>
      <w:r w:rsidRPr="00414F83">
        <w:rPr>
          <w:rFonts w:asciiTheme="majorBidi" w:hAnsiTheme="majorBidi" w:cstheme="majorBidi"/>
        </w:rPr>
        <w:t xml:space="preserve">Polymer electrolyte membrane fuel cells (PEMFCs) are considered environmentally friendly energy convertors, exhibiting many advantages, including low operating temperatures (70-100 °C), high power density (~1.4 kW/kg), high electrical efficiency (40-60%), quiet operation, and low emissions. However, challenges like cost and durability remain barriers to the sustainable commercialization of PEMFCs technologies. In particular, PEMFC's contamination, caused by impurities in feed streams, contribute significantly to durability issues. Intensive R&amp;D thus still needed for PEMFC technology development. </w:t>
      </w:r>
    </w:p>
    <w:p w14:paraId="12431DA1" w14:textId="68626304" w:rsidR="0042400C" w:rsidRPr="00414F83" w:rsidRDefault="0042400C" w:rsidP="0042400C">
      <w:pPr>
        <w:spacing w:line="240" w:lineRule="auto"/>
        <w:ind w:firstLine="567"/>
        <w:rPr>
          <w:rFonts w:asciiTheme="majorBidi" w:hAnsiTheme="majorBidi" w:cstheme="majorBidi"/>
        </w:rPr>
      </w:pPr>
      <w:r w:rsidRPr="00414F83">
        <w:rPr>
          <w:rFonts w:asciiTheme="majorBidi" w:hAnsiTheme="majorBidi" w:cstheme="majorBidi"/>
        </w:rPr>
        <w:t xml:space="preserve">EIS has played an essential role in PEMFCs' research as a diagnostic tool. EIS's main advantage is in identifying the contributions from different components or processes within the PEMFC to the total impedance. In order to perform contributors' identification correctly, a reliable method for analyzing EIS data is needed. For that, we have used Impedance Spectroscopy Genetic Programming (ISGP) as an analysis tool. </w:t>
      </w:r>
    </w:p>
    <w:p w14:paraId="0E21077D" w14:textId="42E13F9B" w:rsidR="008B20E3" w:rsidRDefault="0042400C" w:rsidP="00414F83">
      <w:pPr>
        <w:spacing w:line="240" w:lineRule="auto"/>
        <w:ind w:firstLine="567"/>
        <w:rPr>
          <w:rtl/>
        </w:rPr>
      </w:pPr>
      <w:r w:rsidRPr="00414F83">
        <w:rPr>
          <w:rFonts w:asciiTheme="majorBidi" w:hAnsiTheme="majorBidi" w:cstheme="majorBidi"/>
        </w:rPr>
        <w:t xml:space="preserve">In the following research, EIS measurements were performed </w:t>
      </w:r>
      <w:r w:rsidRPr="00414F83">
        <w:rPr>
          <w:rFonts w:asciiTheme="majorBidi" w:hAnsiTheme="majorBidi" w:cstheme="majorBidi"/>
          <w:i/>
          <w:iCs/>
        </w:rPr>
        <w:t>in operando</w:t>
      </w:r>
      <w:r w:rsidRPr="00414F83">
        <w:rPr>
          <w:rFonts w:asciiTheme="majorBidi" w:hAnsiTheme="majorBidi" w:cstheme="majorBidi"/>
        </w:rPr>
        <w:t xml:space="preserve"> on PEMFCs, and the ISGP analysis method was implemented for the first time on data derived from PEMFCs. We demonstrated that this analysis method yields a consistent model that include the major contributors to the total impedance. In addition, by changing the operating conditions of the PEMFC, we gained further information on the fundamental processes within the fuel cell. Then, the obtained model was used in a contamination study. In this part, PEMFCs were operated under different CO</w:t>
      </w:r>
      <w:r w:rsidRPr="00414F83">
        <w:rPr>
          <w:rFonts w:asciiTheme="majorBidi" w:hAnsiTheme="majorBidi" w:cstheme="majorBidi"/>
          <w:vertAlign w:val="subscript"/>
        </w:rPr>
        <w:t>2</w:t>
      </w:r>
      <w:r w:rsidRPr="00414F83">
        <w:rPr>
          <w:rFonts w:asciiTheme="majorBidi" w:hAnsiTheme="majorBidi" w:cstheme="majorBidi"/>
        </w:rPr>
        <w:t xml:space="preserve"> cathode contamination levels, and </w:t>
      </w:r>
      <w:r w:rsidRPr="00414F83">
        <w:rPr>
          <w:rFonts w:asciiTheme="majorBidi" w:hAnsiTheme="majorBidi" w:cstheme="majorBidi"/>
          <w:i/>
          <w:iCs/>
        </w:rPr>
        <w:t>in operando</w:t>
      </w:r>
      <w:r w:rsidRPr="00414F83">
        <w:rPr>
          <w:rFonts w:asciiTheme="majorBidi" w:hAnsiTheme="majorBidi" w:cstheme="majorBidi"/>
        </w:rPr>
        <w:t xml:space="preserve"> EIS measurements were performed. The data was analyzed using ISGP and according to the previously obtained model, revealing the effect of CO</w:t>
      </w:r>
      <w:r w:rsidRPr="00414F83">
        <w:rPr>
          <w:rFonts w:asciiTheme="majorBidi" w:hAnsiTheme="majorBidi" w:cstheme="majorBidi"/>
          <w:vertAlign w:val="subscript"/>
        </w:rPr>
        <w:t>2</w:t>
      </w:r>
      <w:r w:rsidRPr="00414F83">
        <w:rPr>
          <w:rFonts w:asciiTheme="majorBidi" w:hAnsiTheme="majorBidi" w:cstheme="majorBidi"/>
        </w:rPr>
        <w:t xml:space="preserve"> cathode contamination on each of the fundamental processes within the fuel cell. This</w:t>
      </w:r>
      <w:r>
        <w:t xml:space="preserve"> work can be further continued to the study of many PEM FC's contaminations. </w:t>
      </w:r>
    </w:p>
    <w:sectPr w:rsidR="008B20E3" w:rsidSect="0042400C">
      <w:pgSz w:w="11906" w:h="16838"/>
      <w:pgMar w:top="1440" w:right="1416" w:bottom="1440" w:left="1276"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David">
    <w:panose1 w:val="020E0502060401010101"/>
    <w:charset w:val="B1"/>
    <w:family w:val="swiss"/>
    <w:pitch w:val="variable"/>
    <w:sig w:usb0="00000803" w:usb1="00000000" w:usb2="00000000" w:usb3="00000000" w:csb0="00000021" w:csb1="00000000"/>
  </w:font>
  <w:font w:name="TimesNewRomanPS-BoldMT">
    <w:altName w:val="Times New Roman"/>
    <w:panose1 w:val="020208030705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1NTI0NTQ2Njc3MLdU0lEKTi0uzszPAykwrAUAZ8BxZSwAAAA="/>
  </w:docVars>
  <w:rsids>
    <w:rsidRoot w:val="0042400C"/>
    <w:rsid w:val="00030D25"/>
    <w:rsid w:val="00414F83"/>
    <w:rsid w:val="0042400C"/>
    <w:rsid w:val="00674569"/>
    <w:rsid w:val="008B20E3"/>
    <w:rsid w:val="00D84124"/>
    <w:rsid w:val="00F26A1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53EAA"/>
  <w15:chartTrackingRefBased/>
  <w15:docId w15:val="{9C41D267-992C-4214-B592-EC5F96A3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400C"/>
    <w:pPr>
      <w:spacing w:line="360" w:lineRule="auto"/>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14F83"/>
    <w:pPr>
      <w:tabs>
        <w:tab w:val="center" w:pos="4819"/>
        <w:tab w:val="right" w:pos="9071"/>
      </w:tabs>
      <w:spacing w:after="0" w:line="240" w:lineRule="auto"/>
      <w:jc w:val="left"/>
    </w:pPr>
    <w:rPr>
      <w:rFonts w:ascii="Times New Roman" w:eastAsia="Times New Roman" w:hAnsi="Times New Roman" w:cs="David"/>
      <w:sz w:val="20"/>
      <w:szCs w:val="20"/>
    </w:rPr>
  </w:style>
  <w:style w:type="character" w:customStyle="1" w:styleId="FooterChar">
    <w:name w:val="Footer Char"/>
    <w:basedOn w:val="DefaultParagraphFont"/>
    <w:link w:val="Footer"/>
    <w:rsid w:val="00414F83"/>
    <w:rPr>
      <w:rFonts w:ascii="Times New Roman" w:eastAsia="Times New Roman" w:hAnsi="Times New Roman" w:cs="David"/>
      <w:sz w:val="20"/>
      <w:szCs w:val="20"/>
    </w:rPr>
  </w:style>
  <w:style w:type="character" w:styleId="Hyperlink">
    <w:name w:val="Hyperlink"/>
    <w:basedOn w:val="DefaultParagraphFont"/>
    <w:uiPriority w:val="99"/>
    <w:semiHidden/>
    <w:unhideWhenUsed/>
    <w:rsid w:val="00414F83"/>
    <w:rPr>
      <w:color w:val="0000FF"/>
      <w:u w:val="single"/>
    </w:rPr>
  </w:style>
  <w:style w:type="paragraph" w:styleId="NormalWeb">
    <w:name w:val="Normal (Web)"/>
    <w:basedOn w:val="Normal"/>
    <w:uiPriority w:val="99"/>
    <w:rsid w:val="00414F83"/>
    <w:pPr>
      <w:spacing w:after="0" w:line="240" w:lineRule="auto"/>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38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echnion.zoom.us/j/96214023785"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356</Words>
  <Characters>2035</Characters>
  <Application>Microsoft Office Word</Application>
  <DocSecurity>0</DocSecurity>
  <Lines>16</Lines>
  <Paragraphs>4</Paragraphs>
  <ScaleCrop>false</ScaleCrop>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avioz</dc:creator>
  <cp:keywords/>
  <dc:description/>
  <cp:lastModifiedBy>Tamar Segal-peretz</cp:lastModifiedBy>
  <cp:revision>2</cp:revision>
  <dcterms:created xsi:type="dcterms:W3CDTF">2020-11-15T08:53:00Z</dcterms:created>
  <dcterms:modified xsi:type="dcterms:W3CDTF">2020-11-15T08:53:00Z</dcterms:modified>
</cp:coreProperties>
</file>